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28AA16">
      <w:pPr>
        <w:tabs>
          <w:tab w:val="left" w:pos="1703"/>
        </w:tabs>
        <w:spacing w:line="240" w:lineRule="auto"/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bookmarkStart w:id="0" w:name="_Toc96615213"/>
      <w:bookmarkStart w:id="1" w:name="_Toc187136757"/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公示内容</w:t>
      </w:r>
    </w:p>
    <w:p w14:paraId="4D1C1D35">
      <w:pPr>
        <w:spacing w:line="240" w:lineRule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项目名称：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硫化氢在认知障碍中的防治作用及其机制研究</w:t>
      </w:r>
    </w:p>
    <w:p w14:paraId="4A2997DA">
      <w:pPr>
        <w:pStyle w:val="2"/>
        <w:spacing w:line="240" w:lineRule="auto"/>
        <w:ind w:left="0" w:leftChars="0" w:firstLine="0" w:firstLine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推荐单位：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南华大学</w:t>
      </w:r>
    </w:p>
    <w:p w14:paraId="7BF66FCF">
      <w:pPr>
        <w:spacing w:line="240" w:lineRule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主要完成单位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：南华大学附属第二医院</w:t>
      </w:r>
      <w:bookmarkStart w:id="4" w:name="_GoBack"/>
      <w:bookmarkEnd w:id="4"/>
    </w:p>
    <w:p w14:paraId="35CF9265">
      <w:pPr>
        <w:spacing w:line="240" w:lineRule="auto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主要完成人：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唐小卿、唐祎昀、邹伟、张平、李敏、杨三桥</w:t>
      </w:r>
    </w:p>
    <w:p w14:paraId="224B9A61">
      <w:pPr>
        <w:pStyle w:val="2"/>
        <w:spacing w:line="240" w:lineRule="auto"/>
        <w:ind w:left="0" w:leftChars="0" w:firstLine="0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项目简介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：</w:t>
      </w:r>
      <w:bookmarkEnd w:id="0"/>
      <w:bookmarkEnd w:id="1"/>
      <w:r>
        <w:rPr>
          <w:rFonts w:hint="eastAsia" w:ascii="宋体" w:hAnsi="宋体" w:eastAsia="宋体" w:cs="宋体"/>
          <w:sz w:val="28"/>
          <w:szCs w:val="28"/>
        </w:rPr>
        <w:t>认知障碍是严重威胁人类健康的神经系统疾病，病因复杂且缺乏有效的治疗手段。目前认识到内源性神经毒物同型半胱氨酸 (Hcy)、β2微球蛋白 (B</w: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M) 的堆积、外源性环境毒物 (甲醛) 的暴露以及睡眠障碍与认知障碍发生密切相关。针对上述致认知障碍因素，探寻新的防治策略并阐明其作用机制有望突破认知障碍的防治瓶颈。</w:t>
      </w:r>
    </w:p>
    <w:p w14:paraId="26C1CD56">
      <w:pPr>
        <w:pStyle w:val="13"/>
        <w:spacing w:line="240" w:lineRule="auto"/>
        <w:outlineLvl w:val="1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项目组在国家自然科学基金支持下开展了持之以恒的探索，在Hcy、B2M、甲醛以及睡眠剥夺等因素诱导的认知障碍动物模型上，聚焦内源性信号分子硫化氢 (H</w: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S) 对认知障碍的防治作用及其分子机理的探讨，取得了一系列创新发现：</w:t>
      </w:r>
      <w:r>
        <w:rPr>
          <w:rFonts w:hint="eastAsia" w:ascii="宋体" w:hAnsi="宋体" w:eastAsia="宋体" w:cs="宋体"/>
          <w:b/>
          <w:sz w:val="28"/>
          <w:szCs w:val="28"/>
        </w:rPr>
        <w:t>1. 阐明了内源性H</w:t>
      </w:r>
      <w:r>
        <w:rPr>
          <w:rFonts w:hint="eastAsia" w:ascii="宋体" w:hAnsi="宋体" w:eastAsia="宋体" w:cs="宋体"/>
          <w:b/>
          <w:sz w:val="28"/>
          <w:szCs w:val="28"/>
          <w:vertAlign w:val="subscript"/>
        </w:rPr>
        <w:t>2</w:t>
      </w:r>
      <w:r>
        <w:rPr>
          <w:rFonts w:hint="eastAsia" w:ascii="宋体" w:hAnsi="宋体" w:eastAsia="宋体" w:cs="宋体"/>
          <w:b/>
          <w:sz w:val="28"/>
          <w:szCs w:val="28"/>
        </w:rPr>
        <w:t>S稳态失衡是认知障碍的始动因素，</w:t>
      </w:r>
      <w:r>
        <w:rPr>
          <w:rFonts w:hint="eastAsia" w:ascii="宋体" w:hAnsi="宋体" w:eastAsia="宋体" w:cs="宋体"/>
          <w:sz w:val="28"/>
          <w:szCs w:val="28"/>
        </w:rPr>
        <w:t>揭示了内源性H</w: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S生成障碍是各种致病因素导致认知障碍的重要共性规律，发现内源性H</w: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 xml:space="preserve">S生成障碍进一步通过调控细胞命运引起海马组织内质网应激、醛应激以及过度自噬而促进认知障碍的发生，极大地丰富了对认知障碍病理生理机制的新认识。 </w:t>
      </w:r>
      <w:r>
        <w:rPr>
          <w:rFonts w:hint="eastAsia" w:ascii="宋体" w:hAnsi="宋体" w:eastAsia="宋体" w:cs="宋体"/>
          <w:b/>
          <w:sz w:val="28"/>
          <w:szCs w:val="28"/>
        </w:rPr>
        <w:t>2. 揭示出了H</w:t>
      </w:r>
      <w:r>
        <w:rPr>
          <w:rFonts w:hint="eastAsia" w:ascii="宋体" w:hAnsi="宋体" w:eastAsia="宋体" w:cs="宋体"/>
          <w:b/>
          <w:sz w:val="28"/>
          <w:szCs w:val="28"/>
          <w:vertAlign w:val="subscript"/>
        </w:rPr>
        <w:t>2</w:t>
      </w:r>
      <w:r>
        <w:rPr>
          <w:rFonts w:hint="eastAsia" w:ascii="宋体" w:hAnsi="宋体" w:eastAsia="宋体" w:cs="宋体"/>
          <w:b/>
          <w:sz w:val="28"/>
          <w:szCs w:val="28"/>
        </w:rPr>
        <w:t>S对认知障碍的防治潜力：</w:t>
      </w:r>
      <w:r>
        <w:rPr>
          <w:rFonts w:hint="eastAsia" w:ascii="宋体" w:hAnsi="宋体" w:eastAsia="宋体" w:cs="宋体"/>
          <w:sz w:val="28"/>
          <w:szCs w:val="28"/>
        </w:rPr>
        <w:t xml:space="preserve"> 发现NaHS（H</w: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S的供体）可拮抗内源性 Hcy、B</w: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M堆积引起的认知障碍，揭示出了气体信号分子H</w: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S在认知障碍防治中的巨大潜力。</w:t>
      </w:r>
      <w:r>
        <w:rPr>
          <w:rFonts w:hint="eastAsia" w:ascii="宋体" w:hAnsi="宋体" w:eastAsia="宋体" w:cs="宋体"/>
          <w:b/>
          <w:sz w:val="28"/>
          <w:szCs w:val="28"/>
        </w:rPr>
        <w:t>3. 阐明了H</w:t>
      </w:r>
      <w:r>
        <w:rPr>
          <w:rFonts w:hint="eastAsia" w:ascii="宋体" w:hAnsi="宋体" w:eastAsia="宋体" w:cs="宋体"/>
          <w:b/>
          <w:sz w:val="28"/>
          <w:szCs w:val="28"/>
          <w:vertAlign w:val="subscript"/>
        </w:rPr>
        <w:t>2</w:t>
      </w:r>
      <w:r>
        <w:rPr>
          <w:rFonts w:hint="eastAsia" w:ascii="宋体" w:hAnsi="宋体" w:eastAsia="宋体" w:cs="宋体"/>
          <w:b/>
          <w:sz w:val="28"/>
          <w:szCs w:val="28"/>
        </w:rPr>
        <w:t>S抗认知障碍的“多模式海马命运决定”作用机制：</w:t>
      </w:r>
      <w:r>
        <w:rPr>
          <w:rFonts w:hint="eastAsia" w:ascii="宋体" w:hAnsi="宋体" w:eastAsia="宋体" w:cs="宋体"/>
          <w:sz w:val="28"/>
          <w:szCs w:val="28"/>
        </w:rPr>
        <w:t>证实</w:t>
      </w:r>
      <w:bookmarkStart w:id="2" w:name="_Hlk80003351"/>
      <w:r>
        <w:rPr>
          <w:rFonts w:hint="eastAsia" w:ascii="宋体" w:hAnsi="宋体" w:eastAsia="宋体" w:cs="宋体"/>
          <w:sz w:val="28"/>
          <w:szCs w:val="28"/>
        </w:rPr>
        <w:t>H</w: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S可通过激活BDNF-TrkB信号通路和上调Sirt-1表达抑制海马内质网应激、通过上调ALDH2表达抑制海马醛应激、恢复海马自噬流、通过上调Leptin抗海马神经元衰老等多种途径实现其抗认知障碍作用，明确了H</w: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S抗认知障碍的“多模式海马命运决定”机制</w:t>
      </w:r>
      <w:bookmarkEnd w:id="2"/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37B3ED01">
      <w:pPr>
        <w:pStyle w:val="13"/>
        <w:spacing w:line="240" w:lineRule="auto"/>
        <w:outlineLvl w:val="1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本项目从“细胞命运决定与信号转导网络、内源性和外源性因素双向研究”入手，系统研究并揭示了气体信号分子H</w: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S在认知障碍发病机制及其防治中的意义，丰富了认知障碍发病机制的新认识，提出了H</w: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S抗认知障碍“多模式海马命运决定”机制的新理论，为认知障碍的预防及新药物的研发提供了新靶点与新途径，拓展了H</w: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 xml:space="preserve">S生物学作用研究新领域。     </w:t>
      </w:r>
    </w:p>
    <w:p w14:paraId="5A741AB9">
      <w:pPr>
        <w:pStyle w:val="13"/>
        <w:spacing w:line="240" w:lineRule="auto"/>
        <w:outlineLvl w:val="1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与本项目主要发现点有关的论文共发表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sz w:val="28"/>
          <w:szCs w:val="28"/>
        </w:rPr>
        <w:t>篇，其中SCI收录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sz w:val="28"/>
          <w:szCs w:val="28"/>
        </w:rPr>
        <w:t>篇，累计SCI他引次数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352</w:t>
      </w:r>
      <w:r>
        <w:rPr>
          <w:rFonts w:hint="eastAsia" w:ascii="宋体" w:hAnsi="宋体" w:eastAsia="宋体" w:cs="宋体"/>
          <w:sz w:val="28"/>
          <w:szCs w:val="28"/>
        </w:rPr>
        <w:t>次，单篇他引论文最高IF值为37.314 (Physiol Rev)，得到了国内外学术界的广泛认同。第一完成人入选湖南省121创新人才工程 (第二层次) 和湖南省高层次卫生人才“225”工程学科带头人，第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四</w:t>
      </w:r>
      <w:r>
        <w:rPr>
          <w:rFonts w:hint="eastAsia" w:ascii="宋体" w:hAnsi="宋体" w:eastAsia="宋体" w:cs="宋体"/>
          <w:sz w:val="28"/>
          <w:szCs w:val="28"/>
        </w:rPr>
        <w:t>完成人入选湖南省高层次卫生人才“225”工程学科骨干人才。</w:t>
      </w:r>
    </w:p>
    <w:p w14:paraId="1BF61196">
      <w:pPr>
        <w:snapToGrid w:val="0"/>
        <w:spacing w:line="240" w:lineRule="auto"/>
        <w:rPr>
          <w:rFonts w:hint="eastAsia" w:ascii="宋体" w:hAnsi="宋体" w:eastAsia="宋体" w:cs="宋体"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sz w:val="28"/>
          <w:szCs w:val="28"/>
        </w:rPr>
        <w:t>代表性论文目录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：</w:t>
      </w:r>
    </w:p>
    <w:tbl>
      <w:tblPr>
        <w:tblStyle w:val="27"/>
        <w:tblW w:w="96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1"/>
        <w:gridCol w:w="3396"/>
        <w:gridCol w:w="750"/>
        <w:gridCol w:w="927"/>
        <w:gridCol w:w="1132"/>
        <w:gridCol w:w="941"/>
        <w:gridCol w:w="641"/>
        <w:gridCol w:w="826"/>
        <w:gridCol w:w="504"/>
      </w:tblGrid>
      <w:tr w14:paraId="10BDE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511" w:type="dxa"/>
            <w:vAlign w:val="center"/>
          </w:tcPr>
          <w:p w14:paraId="1EB17317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序号</w:t>
            </w:r>
          </w:p>
        </w:tc>
        <w:tc>
          <w:tcPr>
            <w:tcW w:w="3396" w:type="dxa"/>
            <w:vAlign w:val="center"/>
          </w:tcPr>
          <w:p w14:paraId="1898E8F0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论文名称/作者</w:t>
            </w:r>
          </w:p>
        </w:tc>
        <w:tc>
          <w:tcPr>
            <w:tcW w:w="750" w:type="dxa"/>
            <w:vAlign w:val="center"/>
          </w:tcPr>
          <w:p w14:paraId="3D2CFFC7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刊名</w:t>
            </w:r>
          </w:p>
        </w:tc>
        <w:tc>
          <w:tcPr>
            <w:tcW w:w="927" w:type="dxa"/>
            <w:vAlign w:val="center"/>
          </w:tcPr>
          <w:p w14:paraId="025D3ECD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年卷页码</w:t>
            </w:r>
          </w:p>
          <w:p w14:paraId="4E3EF937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(xx年xx卷xx页)</w:t>
            </w:r>
          </w:p>
        </w:tc>
        <w:tc>
          <w:tcPr>
            <w:tcW w:w="1132" w:type="dxa"/>
            <w:vAlign w:val="center"/>
          </w:tcPr>
          <w:p w14:paraId="49DC2210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通讯作者(含共同)</w:t>
            </w:r>
          </w:p>
        </w:tc>
        <w:tc>
          <w:tcPr>
            <w:tcW w:w="941" w:type="dxa"/>
            <w:vAlign w:val="center"/>
          </w:tcPr>
          <w:p w14:paraId="765C1018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第一作者(含共同)</w:t>
            </w:r>
          </w:p>
        </w:tc>
        <w:tc>
          <w:tcPr>
            <w:tcW w:w="641" w:type="dxa"/>
            <w:vAlign w:val="center"/>
          </w:tcPr>
          <w:p w14:paraId="1D13A950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他引次数</w:t>
            </w:r>
          </w:p>
        </w:tc>
        <w:tc>
          <w:tcPr>
            <w:tcW w:w="826" w:type="dxa"/>
            <w:vAlign w:val="center"/>
          </w:tcPr>
          <w:p w14:paraId="16533250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检索数据库</w:t>
            </w:r>
          </w:p>
        </w:tc>
        <w:tc>
          <w:tcPr>
            <w:tcW w:w="504" w:type="dxa"/>
            <w:vAlign w:val="center"/>
          </w:tcPr>
          <w:p w14:paraId="53587849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通讯作者单位是否含国外单位</w:t>
            </w:r>
          </w:p>
        </w:tc>
      </w:tr>
      <w:tr w14:paraId="1F1EA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511" w:type="dxa"/>
            <w:vAlign w:val="center"/>
          </w:tcPr>
          <w:p w14:paraId="618C2E3D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396" w:type="dxa"/>
            <w:vAlign w:val="center"/>
          </w:tcPr>
          <w:p w14:paraId="59D6C528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Style w:val="97"/>
                <w:rFonts w:hint="eastAsia" w:ascii="宋体" w:hAnsi="宋体" w:eastAsia="宋体" w:cs="宋体"/>
                <w:sz w:val="24"/>
                <w:szCs w:val="24"/>
              </w:rPr>
              <w:t>Disturbance of endogenous hydrogen sulfide generation and</w:t>
            </w:r>
            <w:r>
              <w:rPr>
                <w:rStyle w:val="98"/>
                <w:rFonts w:hint="eastAsia" w:ascii="宋体" w:hAnsi="宋体" w:eastAsia="宋体" w:cs="宋体"/>
                <w:color w:val="242021"/>
                <w:sz w:val="24"/>
                <w:szCs w:val="24"/>
              </w:rPr>
              <w:t xml:space="preserve"> </w:t>
            </w:r>
            <w:r>
              <w:rPr>
                <w:rStyle w:val="97"/>
                <w:rFonts w:hint="eastAsia" w:ascii="宋体" w:hAnsi="宋体" w:eastAsia="宋体" w:cs="宋体"/>
                <w:sz w:val="24"/>
                <w:szCs w:val="24"/>
              </w:rPr>
              <w:t>endoplasmic reticulum stress in hippocampus are involved in</w:t>
            </w:r>
            <w:r>
              <w:rPr>
                <w:rStyle w:val="98"/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Style w:val="97"/>
                <w:rFonts w:hint="eastAsia" w:ascii="宋体" w:hAnsi="宋体" w:eastAsia="宋体" w:cs="宋体"/>
                <w:sz w:val="24"/>
                <w:szCs w:val="24"/>
              </w:rPr>
              <w:t>homocysteine-induced defect in learning and memory of rats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/</w:t>
            </w:r>
            <w:r>
              <w:rPr>
                <w:rStyle w:val="97"/>
                <w:rFonts w:hint="eastAsia" w:ascii="宋体" w:hAnsi="宋体" w:eastAsia="宋体" w:cs="宋体"/>
                <w:sz w:val="24"/>
                <w:szCs w:val="24"/>
              </w:rPr>
              <w:t xml:space="preserve">Li MH, Tang JP, </w:t>
            </w:r>
            <w:r>
              <w:rPr>
                <w:rStyle w:val="97"/>
                <w:rFonts w:hint="eastAsia" w:ascii="宋体" w:hAnsi="宋体" w:eastAsia="宋体" w:cs="宋体"/>
                <w:b/>
                <w:sz w:val="24"/>
                <w:szCs w:val="24"/>
              </w:rPr>
              <w:t>Zhang P</w:t>
            </w:r>
            <w:r>
              <w:rPr>
                <w:rStyle w:val="97"/>
                <w:rFonts w:hint="eastAsia" w:ascii="宋体" w:hAnsi="宋体" w:eastAsia="宋体" w:cs="宋体"/>
                <w:sz w:val="24"/>
                <w:szCs w:val="24"/>
              </w:rPr>
              <w:t xml:space="preserve">, Li X, Wang CY, Wei HJ, Yang XF, </w:t>
            </w:r>
            <w:r>
              <w:rPr>
                <w:rStyle w:val="97"/>
                <w:rFonts w:hint="eastAsia" w:ascii="宋体" w:hAnsi="宋体" w:eastAsia="宋体" w:cs="宋体"/>
                <w:b/>
                <w:sz w:val="24"/>
                <w:szCs w:val="24"/>
              </w:rPr>
              <w:t>Zou W</w:t>
            </w:r>
            <w:r>
              <w:rPr>
                <w:rStyle w:val="97"/>
                <w:rFonts w:hint="eastAsia" w:ascii="宋体" w:hAnsi="宋体" w:eastAsia="宋体" w:cs="宋体"/>
                <w:sz w:val="24"/>
                <w:szCs w:val="24"/>
              </w:rPr>
              <w:t xml:space="preserve">, </w:t>
            </w:r>
            <w:r>
              <w:rPr>
                <w:rStyle w:val="97"/>
                <w:rFonts w:hint="eastAsia" w:ascii="宋体" w:hAnsi="宋体" w:eastAsia="宋体" w:cs="宋体"/>
                <w:b/>
                <w:sz w:val="24"/>
                <w:szCs w:val="24"/>
              </w:rPr>
              <w:t>Tang XQ</w:t>
            </w:r>
          </w:p>
        </w:tc>
        <w:tc>
          <w:tcPr>
            <w:tcW w:w="750" w:type="dxa"/>
            <w:vAlign w:val="center"/>
          </w:tcPr>
          <w:p w14:paraId="1F56780F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Style w:val="97"/>
                <w:rFonts w:hint="eastAsia" w:ascii="宋体" w:hAnsi="宋体" w:eastAsia="宋体" w:cs="宋体"/>
                <w:sz w:val="24"/>
                <w:szCs w:val="24"/>
              </w:rPr>
              <w:t>Behav Brain Res</w:t>
            </w:r>
          </w:p>
        </w:tc>
        <w:tc>
          <w:tcPr>
            <w:tcW w:w="927" w:type="dxa"/>
            <w:vAlign w:val="center"/>
          </w:tcPr>
          <w:p w14:paraId="534899D6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Style w:val="97"/>
                <w:rFonts w:hint="eastAsia" w:ascii="宋体" w:hAnsi="宋体" w:eastAsia="宋体" w:cs="宋体"/>
                <w:sz w:val="24"/>
                <w:szCs w:val="24"/>
              </w:rPr>
              <w:t>2014; 262:35-41.</w:t>
            </w:r>
          </w:p>
        </w:tc>
        <w:tc>
          <w:tcPr>
            <w:tcW w:w="1132" w:type="dxa"/>
            <w:vAlign w:val="center"/>
          </w:tcPr>
          <w:p w14:paraId="48E9EA33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Style w:val="97"/>
                <w:rFonts w:hint="eastAsia" w:ascii="宋体" w:hAnsi="宋体" w:eastAsia="宋体" w:cs="宋体"/>
                <w:sz w:val="24"/>
                <w:szCs w:val="24"/>
              </w:rPr>
              <w:t>Zou W, Tang XQ</w:t>
            </w:r>
          </w:p>
        </w:tc>
        <w:tc>
          <w:tcPr>
            <w:tcW w:w="941" w:type="dxa"/>
            <w:vAlign w:val="center"/>
          </w:tcPr>
          <w:p w14:paraId="3E58869D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Style w:val="97"/>
                <w:rFonts w:hint="eastAsia" w:ascii="宋体" w:hAnsi="宋体" w:eastAsia="宋体" w:cs="宋体"/>
                <w:sz w:val="24"/>
                <w:szCs w:val="24"/>
              </w:rPr>
              <w:t>Li MH, Tang JP</w:t>
            </w:r>
          </w:p>
        </w:tc>
        <w:tc>
          <w:tcPr>
            <w:tcW w:w="641" w:type="dxa"/>
            <w:vAlign w:val="center"/>
          </w:tcPr>
          <w:p w14:paraId="50CA7294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826" w:type="dxa"/>
            <w:vAlign w:val="center"/>
          </w:tcPr>
          <w:p w14:paraId="019A7F9F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Web of Science</w:t>
            </w:r>
          </w:p>
        </w:tc>
        <w:tc>
          <w:tcPr>
            <w:tcW w:w="504" w:type="dxa"/>
            <w:vAlign w:val="center"/>
          </w:tcPr>
          <w:p w14:paraId="466F9693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否</w:t>
            </w:r>
          </w:p>
        </w:tc>
      </w:tr>
      <w:tr w14:paraId="7FCAE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511" w:type="dxa"/>
            <w:vAlign w:val="center"/>
          </w:tcPr>
          <w:p w14:paraId="51BBAC9C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396" w:type="dxa"/>
            <w:vAlign w:val="center"/>
          </w:tcPr>
          <w:p w14:paraId="619A0D99">
            <w:pPr>
              <w:adjustRightInd w:val="0"/>
              <w:snapToGrid w:val="0"/>
              <w:spacing w:line="240" w:lineRule="auto"/>
              <w:jc w:val="center"/>
              <w:rPr>
                <w:rStyle w:val="97"/>
                <w:rFonts w:hint="eastAsia" w:ascii="宋体" w:hAnsi="宋体" w:eastAsia="宋体" w:cs="宋体"/>
                <w:sz w:val="24"/>
                <w:szCs w:val="24"/>
              </w:rPr>
            </w:pPr>
            <w:bookmarkStart w:id="3" w:name="OLE_LINK10"/>
            <w:r>
              <w:rPr>
                <w:rStyle w:val="97"/>
                <w:rFonts w:hint="eastAsia" w:ascii="宋体" w:hAnsi="宋体" w:eastAsia="宋体" w:cs="宋体"/>
                <w:sz w:val="24"/>
                <w:szCs w:val="24"/>
              </w:rPr>
              <w:t>Hydrogen sulfde inhibits homocysteine-induced endoplasmic reticulum stress and neuronal apoptosis in rat hippocampus via upregulation of the BDNF-TrkB pathway</w:t>
            </w:r>
            <w:bookmarkEnd w:id="3"/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/</w:t>
            </w:r>
            <w:r>
              <w:rPr>
                <w:rStyle w:val="97"/>
                <w:rFonts w:hint="eastAsia" w:ascii="宋体" w:hAnsi="宋体" w:eastAsia="宋体" w:cs="宋体"/>
                <w:sz w:val="24"/>
                <w:szCs w:val="24"/>
              </w:rPr>
              <w:t xml:space="preserve">Wei HJ, Xu JH, Li MH, Tang JP, </w:t>
            </w:r>
            <w:r>
              <w:rPr>
                <w:rStyle w:val="97"/>
                <w:rFonts w:hint="eastAsia" w:ascii="宋体" w:hAnsi="宋体" w:eastAsia="宋体" w:cs="宋体"/>
                <w:b/>
                <w:sz w:val="24"/>
                <w:szCs w:val="24"/>
              </w:rPr>
              <w:t>Zou W</w:t>
            </w:r>
            <w:r>
              <w:rPr>
                <w:rStyle w:val="97"/>
                <w:rFonts w:hint="eastAsia" w:ascii="宋体" w:hAnsi="宋体" w:eastAsia="宋体" w:cs="宋体"/>
                <w:sz w:val="24"/>
                <w:szCs w:val="24"/>
              </w:rPr>
              <w:t xml:space="preserve">, </w:t>
            </w:r>
            <w:r>
              <w:rPr>
                <w:rStyle w:val="97"/>
                <w:rFonts w:hint="eastAsia" w:ascii="宋体" w:hAnsi="宋体" w:eastAsia="宋体" w:cs="宋体"/>
                <w:b/>
                <w:sz w:val="24"/>
                <w:szCs w:val="24"/>
              </w:rPr>
              <w:t>Zhang P</w:t>
            </w:r>
            <w:r>
              <w:rPr>
                <w:rStyle w:val="97"/>
                <w:rFonts w:hint="eastAsia" w:ascii="宋体" w:hAnsi="宋体" w:eastAsia="宋体" w:cs="宋体"/>
                <w:sz w:val="24"/>
                <w:szCs w:val="24"/>
              </w:rPr>
              <w:t xml:space="preserve">, Wang L, Wang CY, </w:t>
            </w:r>
            <w:r>
              <w:rPr>
                <w:rStyle w:val="97"/>
                <w:rFonts w:hint="eastAsia" w:ascii="宋体" w:hAnsi="宋体" w:eastAsia="宋体" w:cs="宋体"/>
                <w:b/>
                <w:sz w:val="24"/>
                <w:szCs w:val="24"/>
              </w:rPr>
              <w:t>Tang XQ</w:t>
            </w:r>
          </w:p>
        </w:tc>
        <w:tc>
          <w:tcPr>
            <w:tcW w:w="750" w:type="dxa"/>
            <w:vAlign w:val="center"/>
          </w:tcPr>
          <w:p w14:paraId="2C966D10">
            <w:pPr>
              <w:adjustRightInd w:val="0"/>
              <w:snapToGrid w:val="0"/>
              <w:spacing w:line="240" w:lineRule="auto"/>
              <w:jc w:val="center"/>
              <w:rPr>
                <w:rStyle w:val="97"/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97"/>
                <w:rFonts w:hint="eastAsia" w:ascii="宋体" w:hAnsi="宋体" w:eastAsia="宋体" w:cs="宋体"/>
                <w:sz w:val="24"/>
                <w:szCs w:val="24"/>
              </w:rPr>
              <w:t xml:space="preserve">Acta Pharmacol Sin </w:t>
            </w:r>
          </w:p>
        </w:tc>
        <w:tc>
          <w:tcPr>
            <w:tcW w:w="927" w:type="dxa"/>
            <w:vAlign w:val="center"/>
          </w:tcPr>
          <w:p w14:paraId="4D184958">
            <w:pPr>
              <w:adjustRightInd w:val="0"/>
              <w:snapToGrid w:val="0"/>
              <w:spacing w:line="240" w:lineRule="auto"/>
              <w:jc w:val="center"/>
              <w:rPr>
                <w:rStyle w:val="97"/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97"/>
                <w:rFonts w:hint="eastAsia" w:ascii="宋体" w:hAnsi="宋体" w:eastAsia="宋体" w:cs="宋体"/>
                <w:sz w:val="24"/>
                <w:szCs w:val="24"/>
              </w:rPr>
              <w:t>2014; 5(6):707-15. 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1B3982E0">
            <w:pPr>
              <w:pStyle w:val="96"/>
              <w:spacing w:after="50" w:line="240" w:lineRule="auto"/>
              <w:ind w:firstLine="0" w:firstLineChars="0"/>
              <w:rPr>
                <w:rFonts w:hint="eastAsia" w:ascii="宋体" w:hAnsi="宋体" w:eastAsia="宋体" w:cs="宋体"/>
                <w:color w:val="24202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97"/>
                <w:rFonts w:hint="eastAsia" w:ascii="宋体" w:hAnsi="宋体" w:eastAsia="宋体" w:cs="宋体"/>
                <w:sz w:val="24"/>
                <w:szCs w:val="24"/>
              </w:rPr>
              <w:t>Zhang P, Tang XQ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0196983B">
            <w:pPr>
              <w:pStyle w:val="96"/>
              <w:spacing w:after="50" w:line="240" w:lineRule="auto"/>
              <w:ind w:firstLine="0" w:firstLineChars="0"/>
              <w:rPr>
                <w:rFonts w:hint="eastAsia" w:ascii="宋体" w:hAnsi="宋体" w:eastAsia="宋体" w:cs="宋体"/>
                <w:color w:val="24202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97"/>
                <w:rFonts w:hint="eastAsia" w:ascii="宋体" w:hAnsi="宋体" w:eastAsia="宋体" w:cs="宋体"/>
                <w:sz w:val="24"/>
                <w:szCs w:val="24"/>
              </w:rPr>
              <w:t>Wei HJ, Xu JH</w:t>
            </w:r>
          </w:p>
        </w:tc>
        <w:tc>
          <w:tcPr>
            <w:tcW w:w="641" w:type="dxa"/>
            <w:vAlign w:val="center"/>
          </w:tcPr>
          <w:p w14:paraId="123F1081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101</w:t>
            </w:r>
          </w:p>
        </w:tc>
        <w:tc>
          <w:tcPr>
            <w:tcW w:w="826" w:type="dxa"/>
            <w:vAlign w:val="center"/>
          </w:tcPr>
          <w:p w14:paraId="1983EAAC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Web of Science</w:t>
            </w:r>
          </w:p>
        </w:tc>
        <w:tc>
          <w:tcPr>
            <w:tcW w:w="504" w:type="dxa"/>
            <w:vAlign w:val="center"/>
          </w:tcPr>
          <w:p w14:paraId="53380A0D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否</w:t>
            </w:r>
          </w:p>
        </w:tc>
      </w:tr>
      <w:tr w14:paraId="16F30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511" w:type="dxa"/>
            <w:vAlign w:val="center"/>
          </w:tcPr>
          <w:p w14:paraId="11528C71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396" w:type="dxa"/>
            <w:vAlign w:val="center"/>
          </w:tcPr>
          <w:p w14:paraId="5082D392">
            <w:pPr>
              <w:adjustRightInd w:val="0"/>
              <w:snapToGrid w:val="0"/>
              <w:spacing w:line="240" w:lineRule="auto"/>
              <w:jc w:val="center"/>
              <w:rPr>
                <w:rStyle w:val="97"/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97"/>
                <w:rFonts w:hint="eastAsia" w:ascii="宋体" w:hAnsi="宋体" w:eastAsia="宋体" w:cs="宋体"/>
                <w:sz w:val="24"/>
                <w:szCs w:val="24"/>
              </w:rPr>
              <w:t>Formaldehyde Impairs Learning and Memory Involving the Disturbance of Hydrogen Sulfide Generation in the Hippocampus of Rats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/</w:t>
            </w:r>
            <w:r>
              <w:rPr>
                <w:rStyle w:val="97"/>
                <w:rFonts w:hint="eastAsia" w:ascii="宋体" w:hAnsi="宋体" w:eastAsia="宋体" w:cs="宋体"/>
                <w:b/>
                <w:sz w:val="24"/>
                <w:szCs w:val="24"/>
              </w:rPr>
              <w:t>Tang XQ</w:t>
            </w:r>
            <w:r>
              <w:rPr>
                <w:rStyle w:val="97"/>
                <w:rFonts w:hint="eastAsia" w:ascii="宋体" w:hAnsi="宋体" w:eastAsia="宋体" w:cs="宋体"/>
                <w:sz w:val="24"/>
                <w:szCs w:val="24"/>
              </w:rPr>
              <w:t xml:space="preserve">, Zhuang YY, </w:t>
            </w:r>
            <w:r>
              <w:rPr>
                <w:rStyle w:val="97"/>
                <w:rFonts w:hint="eastAsia" w:ascii="宋体" w:hAnsi="宋体" w:eastAsia="宋体" w:cs="宋体"/>
                <w:b/>
                <w:sz w:val="24"/>
                <w:szCs w:val="24"/>
              </w:rPr>
              <w:t>Zhang P,</w:t>
            </w:r>
            <w:r>
              <w:rPr>
                <w:rStyle w:val="97"/>
                <w:rFonts w:hint="eastAsia" w:ascii="宋体" w:hAnsi="宋体" w:eastAsia="宋体" w:cs="宋体"/>
                <w:sz w:val="24"/>
                <w:szCs w:val="24"/>
              </w:rPr>
              <w:t xml:space="preserve"> Fang HR, Zhou CF, Gu HF, Zhang H, Wang CY</w:t>
            </w:r>
          </w:p>
        </w:tc>
        <w:tc>
          <w:tcPr>
            <w:tcW w:w="750" w:type="dxa"/>
            <w:vAlign w:val="center"/>
          </w:tcPr>
          <w:p w14:paraId="1AD8BDBB">
            <w:pPr>
              <w:adjustRightInd w:val="0"/>
              <w:snapToGrid w:val="0"/>
              <w:spacing w:line="240" w:lineRule="auto"/>
              <w:jc w:val="center"/>
              <w:rPr>
                <w:rStyle w:val="97"/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97"/>
                <w:rFonts w:hint="eastAsia" w:ascii="宋体" w:hAnsi="宋体" w:eastAsia="宋体" w:cs="宋体"/>
                <w:sz w:val="24"/>
                <w:szCs w:val="24"/>
              </w:rPr>
              <w:t>J Mol Neurosci</w:t>
            </w:r>
          </w:p>
        </w:tc>
        <w:tc>
          <w:tcPr>
            <w:tcW w:w="927" w:type="dxa"/>
            <w:vAlign w:val="center"/>
          </w:tcPr>
          <w:p w14:paraId="6C447782">
            <w:pPr>
              <w:adjustRightInd w:val="0"/>
              <w:snapToGrid w:val="0"/>
              <w:spacing w:line="240" w:lineRule="auto"/>
              <w:jc w:val="center"/>
              <w:rPr>
                <w:rStyle w:val="97"/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97"/>
                <w:rFonts w:hint="eastAsia" w:ascii="宋体" w:hAnsi="宋体" w:eastAsia="宋体" w:cs="宋体"/>
                <w:sz w:val="24"/>
                <w:szCs w:val="24"/>
              </w:rPr>
              <w:t>2013; 49(1):140-9. 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3709D3AD">
            <w:pPr>
              <w:pStyle w:val="96"/>
              <w:spacing w:after="50" w:line="240" w:lineRule="auto"/>
              <w:ind w:firstLine="0" w:firstLineChars="0"/>
              <w:rPr>
                <w:rStyle w:val="97"/>
                <w:rFonts w:hint="eastAsia" w:ascii="宋体" w:hAnsi="宋体" w:eastAsia="宋体" w:cs="宋体"/>
                <w:sz w:val="24"/>
                <w:szCs w:val="24"/>
              </w:rPr>
            </w:pPr>
          </w:p>
          <w:p w14:paraId="435731E5">
            <w:pPr>
              <w:pStyle w:val="96"/>
              <w:spacing w:after="50" w:line="240" w:lineRule="auto"/>
              <w:ind w:firstLine="0" w:firstLineChars="0"/>
              <w:rPr>
                <w:rStyle w:val="97"/>
                <w:rFonts w:hint="eastAsia" w:ascii="宋体" w:hAnsi="宋体" w:eastAsia="宋体" w:cs="宋体"/>
                <w:sz w:val="24"/>
                <w:szCs w:val="24"/>
              </w:rPr>
            </w:pPr>
          </w:p>
          <w:p w14:paraId="1C00688D">
            <w:pPr>
              <w:pStyle w:val="96"/>
              <w:spacing w:after="50" w:line="240" w:lineRule="auto"/>
              <w:ind w:firstLine="0" w:firstLineChars="0"/>
              <w:rPr>
                <w:rStyle w:val="97"/>
                <w:rFonts w:hint="eastAsia" w:ascii="宋体" w:hAnsi="宋体" w:eastAsia="宋体" w:cs="宋体"/>
                <w:sz w:val="24"/>
                <w:szCs w:val="24"/>
              </w:rPr>
            </w:pPr>
          </w:p>
          <w:p w14:paraId="00AEB013">
            <w:pPr>
              <w:pStyle w:val="96"/>
              <w:spacing w:after="50" w:line="240" w:lineRule="auto"/>
              <w:ind w:firstLine="0" w:firstLineChars="0"/>
              <w:rPr>
                <w:rFonts w:hint="eastAsia" w:ascii="宋体" w:hAnsi="宋体" w:eastAsia="宋体" w:cs="宋体"/>
                <w:color w:val="24202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97"/>
                <w:rFonts w:hint="eastAsia" w:ascii="宋体" w:hAnsi="宋体" w:eastAsia="宋体" w:cs="宋体"/>
                <w:sz w:val="24"/>
                <w:szCs w:val="24"/>
              </w:rPr>
              <w:t>Zhang P, Tang XQ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1133210C">
            <w:pPr>
              <w:pStyle w:val="96"/>
              <w:spacing w:after="50" w:line="240" w:lineRule="auto"/>
              <w:ind w:firstLine="0" w:firstLineChars="0"/>
              <w:rPr>
                <w:rStyle w:val="97"/>
                <w:rFonts w:hint="eastAsia" w:ascii="宋体" w:hAnsi="宋体" w:eastAsia="宋体" w:cs="宋体"/>
                <w:sz w:val="24"/>
                <w:szCs w:val="24"/>
              </w:rPr>
            </w:pPr>
          </w:p>
          <w:p w14:paraId="61A1CC09">
            <w:pPr>
              <w:pStyle w:val="96"/>
              <w:spacing w:after="50" w:line="240" w:lineRule="auto"/>
              <w:ind w:firstLine="0" w:firstLineChars="0"/>
              <w:rPr>
                <w:rStyle w:val="97"/>
                <w:rFonts w:hint="eastAsia" w:ascii="宋体" w:hAnsi="宋体" w:eastAsia="宋体" w:cs="宋体"/>
                <w:sz w:val="24"/>
                <w:szCs w:val="24"/>
              </w:rPr>
            </w:pPr>
          </w:p>
          <w:p w14:paraId="11723445">
            <w:pPr>
              <w:pStyle w:val="96"/>
              <w:spacing w:after="50" w:line="240" w:lineRule="auto"/>
              <w:ind w:firstLine="0" w:firstLineChars="0"/>
              <w:rPr>
                <w:rStyle w:val="97"/>
                <w:rFonts w:hint="eastAsia" w:ascii="宋体" w:hAnsi="宋体" w:eastAsia="宋体" w:cs="宋体"/>
                <w:sz w:val="24"/>
                <w:szCs w:val="24"/>
              </w:rPr>
            </w:pPr>
          </w:p>
          <w:p w14:paraId="075B2769">
            <w:pPr>
              <w:pStyle w:val="96"/>
              <w:spacing w:after="50" w:line="240" w:lineRule="auto"/>
              <w:ind w:firstLine="0" w:firstLineChars="0"/>
              <w:rPr>
                <w:rStyle w:val="97"/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97"/>
                <w:rFonts w:hint="eastAsia" w:ascii="宋体" w:hAnsi="宋体" w:eastAsia="宋体" w:cs="宋体"/>
                <w:sz w:val="24"/>
                <w:szCs w:val="24"/>
              </w:rPr>
              <w:t>Tang XQ,</w:t>
            </w:r>
          </w:p>
          <w:p w14:paraId="041905BD">
            <w:pPr>
              <w:pStyle w:val="96"/>
              <w:spacing w:after="50" w:line="240" w:lineRule="auto"/>
              <w:ind w:firstLine="0" w:firstLineChars="0"/>
              <w:rPr>
                <w:rFonts w:hint="eastAsia" w:ascii="宋体" w:hAnsi="宋体" w:eastAsia="宋体" w:cs="宋体"/>
                <w:color w:val="24202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97"/>
                <w:rFonts w:hint="eastAsia" w:ascii="宋体" w:hAnsi="宋体" w:eastAsia="宋体" w:cs="宋体"/>
                <w:sz w:val="24"/>
                <w:szCs w:val="24"/>
              </w:rPr>
              <w:t>Zhuang YY</w:t>
            </w:r>
          </w:p>
        </w:tc>
        <w:tc>
          <w:tcPr>
            <w:tcW w:w="641" w:type="dxa"/>
            <w:vAlign w:val="center"/>
          </w:tcPr>
          <w:p w14:paraId="78D0DD16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271CD30B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Web of Science</w:t>
            </w:r>
          </w:p>
        </w:tc>
        <w:tc>
          <w:tcPr>
            <w:tcW w:w="504" w:type="dxa"/>
            <w:shd w:val="clear" w:color="auto" w:fill="auto"/>
            <w:vAlign w:val="center"/>
          </w:tcPr>
          <w:p w14:paraId="6B847A15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否</w:t>
            </w:r>
          </w:p>
        </w:tc>
      </w:tr>
      <w:tr w14:paraId="5F56D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511" w:type="dxa"/>
            <w:vAlign w:val="center"/>
          </w:tcPr>
          <w:p w14:paraId="47CB4169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396" w:type="dxa"/>
            <w:vAlign w:val="center"/>
          </w:tcPr>
          <w:p w14:paraId="3B2E9D7F">
            <w:pPr>
              <w:adjustRightInd w:val="0"/>
              <w:snapToGrid w:val="0"/>
              <w:spacing w:line="240" w:lineRule="auto"/>
              <w:jc w:val="center"/>
              <w:rPr>
                <w:rStyle w:val="97"/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Hydrogen Sulfide Ameliorates Homocysteine-Induced Cognitive Dysfunction by Inhibition of Reactive Aldehydes Involving Upregulation of ALDH2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Li M, Zhang P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, Wei HJ, Li MH,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Zou W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, Li X, Gu HF,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Tang XQ</w:t>
            </w:r>
          </w:p>
        </w:tc>
        <w:tc>
          <w:tcPr>
            <w:tcW w:w="750" w:type="dxa"/>
            <w:vAlign w:val="center"/>
          </w:tcPr>
          <w:p w14:paraId="45E1F1D0">
            <w:pPr>
              <w:adjustRightInd w:val="0"/>
              <w:snapToGrid w:val="0"/>
              <w:spacing w:line="240" w:lineRule="auto"/>
              <w:jc w:val="center"/>
              <w:rPr>
                <w:rStyle w:val="97"/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Int J Neuropsychopharmacol</w:t>
            </w:r>
          </w:p>
        </w:tc>
        <w:tc>
          <w:tcPr>
            <w:tcW w:w="927" w:type="dxa"/>
            <w:vAlign w:val="center"/>
          </w:tcPr>
          <w:p w14:paraId="27B272C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</w:rPr>
              <w:t>2017;20(4):305-</w:t>
            </w:r>
          </w:p>
          <w:p w14:paraId="591C7ED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</w:rPr>
              <w:t>315</w:t>
            </w:r>
          </w:p>
          <w:p w14:paraId="4404CF64">
            <w:pPr>
              <w:adjustRightInd w:val="0"/>
              <w:snapToGrid w:val="0"/>
              <w:spacing w:line="240" w:lineRule="auto"/>
              <w:jc w:val="center"/>
              <w:rPr>
                <w:rStyle w:val="97"/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14:paraId="72154CA0">
            <w:pPr>
              <w:autoSpaceDE w:val="0"/>
              <w:autoSpaceDN w:val="0"/>
              <w:adjustRightInd w:val="0"/>
              <w:spacing w:line="24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56742761">
            <w:pPr>
              <w:autoSpaceDE w:val="0"/>
              <w:autoSpaceDN w:val="0"/>
              <w:adjustRightInd w:val="0"/>
              <w:spacing w:line="240" w:lineRule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Zou W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, Tang XQ</w:t>
            </w:r>
          </w:p>
          <w:p w14:paraId="324CA795">
            <w:pPr>
              <w:pStyle w:val="13"/>
              <w:adjustRightInd w:val="0"/>
              <w:spacing w:after="50" w:line="240" w:lineRule="auto"/>
              <w:ind w:firstLine="0" w:firstLineChars="0"/>
              <w:outlineLvl w:val="1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14:paraId="0D9B809D">
            <w:pPr>
              <w:autoSpaceDE w:val="0"/>
              <w:autoSpaceDN w:val="0"/>
              <w:adjustRightInd w:val="0"/>
              <w:spacing w:line="24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Li M, Zhang P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  <w:p w14:paraId="581A06B0">
            <w:pPr>
              <w:pStyle w:val="13"/>
              <w:adjustRightInd w:val="0"/>
              <w:spacing w:after="50" w:line="240" w:lineRule="auto"/>
              <w:ind w:firstLine="0" w:firstLineChars="0"/>
              <w:outlineLvl w:val="1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41" w:type="dxa"/>
            <w:vAlign w:val="center"/>
          </w:tcPr>
          <w:p w14:paraId="1AC1C5EB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79CB6318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Web of Science</w:t>
            </w:r>
          </w:p>
        </w:tc>
        <w:tc>
          <w:tcPr>
            <w:tcW w:w="504" w:type="dxa"/>
            <w:shd w:val="clear" w:color="auto" w:fill="auto"/>
            <w:vAlign w:val="center"/>
          </w:tcPr>
          <w:p w14:paraId="6242B32A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否</w:t>
            </w:r>
          </w:p>
        </w:tc>
      </w:tr>
      <w:tr w14:paraId="7DF2F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511" w:type="dxa"/>
            <w:vAlign w:val="center"/>
          </w:tcPr>
          <w:p w14:paraId="765A44F6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396" w:type="dxa"/>
            <w:vAlign w:val="center"/>
          </w:tcPr>
          <w:p w14:paraId="43DA433B">
            <w:pPr>
              <w:pStyle w:val="13"/>
              <w:adjustRightInd w:val="0"/>
              <w:spacing w:after="50" w:line="240" w:lineRule="auto"/>
              <w:ind w:firstLine="0" w:firstLineChars="0"/>
              <w:outlineLvl w:val="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Role of silent information regulator 1 in the protective effect of hydrogen sulfide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on homocysteine-induced cognitive dysfunction: Involving reduction</w:t>
            </w:r>
          </w:p>
          <w:p w14:paraId="50BFDF2F">
            <w:pPr>
              <w:adjustRightInd w:val="0"/>
              <w:snapToGrid w:val="0"/>
              <w:spacing w:line="240" w:lineRule="auto"/>
              <w:jc w:val="center"/>
              <w:rPr>
                <w:rStyle w:val="97"/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of hippocampal ER stress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Tang YY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, Wang AP, Wei HJ, Li MH,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Zou W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, Li X, Wang CY,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Zhang P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,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 xml:space="preserve">Tang XQ </w:t>
            </w:r>
          </w:p>
        </w:tc>
        <w:tc>
          <w:tcPr>
            <w:tcW w:w="750" w:type="dxa"/>
            <w:vAlign w:val="center"/>
          </w:tcPr>
          <w:p w14:paraId="3D53C344">
            <w:pPr>
              <w:adjustRightInd w:val="0"/>
              <w:snapToGrid w:val="0"/>
              <w:spacing w:line="240" w:lineRule="auto"/>
              <w:jc w:val="center"/>
              <w:rPr>
                <w:rStyle w:val="97"/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Behav Brain Res</w:t>
            </w:r>
          </w:p>
        </w:tc>
        <w:tc>
          <w:tcPr>
            <w:tcW w:w="927" w:type="dxa"/>
            <w:vAlign w:val="center"/>
          </w:tcPr>
          <w:p w14:paraId="631D3013">
            <w:pPr>
              <w:adjustRightInd w:val="0"/>
              <w:snapToGrid w:val="0"/>
              <w:spacing w:line="240" w:lineRule="auto"/>
              <w:jc w:val="center"/>
              <w:rPr>
                <w:rStyle w:val="97"/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2018;342:35-42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2C50277B">
            <w:pPr>
              <w:pStyle w:val="13"/>
              <w:adjustRightInd w:val="0"/>
              <w:spacing w:after="50" w:line="240" w:lineRule="auto"/>
              <w:ind w:firstLine="0" w:firstLineChars="0"/>
              <w:jc w:val="center"/>
              <w:outlineLvl w:val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2F80968">
            <w:pPr>
              <w:pStyle w:val="13"/>
              <w:adjustRightInd w:val="0"/>
              <w:spacing w:after="50" w:line="240" w:lineRule="auto"/>
              <w:ind w:firstLine="0" w:firstLineChars="0"/>
              <w:jc w:val="center"/>
              <w:outlineLvl w:val="1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Zou W, Tang XQ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2A4BD301">
            <w:pPr>
              <w:pStyle w:val="13"/>
              <w:adjustRightInd w:val="0"/>
              <w:spacing w:after="50" w:line="240" w:lineRule="auto"/>
              <w:ind w:firstLine="0" w:firstLineChars="0"/>
              <w:jc w:val="center"/>
              <w:outlineLvl w:val="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Tang YY,</w:t>
            </w:r>
          </w:p>
          <w:p w14:paraId="5A154ABC">
            <w:pPr>
              <w:pStyle w:val="13"/>
              <w:adjustRightInd w:val="0"/>
              <w:spacing w:after="50" w:line="240" w:lineRule="auto"/>
              <w:ind w:firstLine="0" w:firstLineChars="0"/>
              <w:jc w:val="center"/>
              <w:outlineLvl w:val="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Wang</w:t>
            </w:r>
          </w:p>
          <w:p w14:paraId="10652803">
            <w:pPr>
              <w:pStyle w:val="13"/>
              <w:adjustRightInd w:val="0"/>
              <w:spacing w:after="50" w:line="240" w:lineRule="auto"/>
              <w:ind w:firstLine="0" w:firstLineChars="0"/>
              <w:jc w:val="center"/>
              <w:outlineLvl w:val="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AP</w:t>
            </w:r>
          </w:p>
          <w:p w14:paraId="0C7F4F6D">
            <w:pPr>
              <w:pStyle w:val="13"/>
              <w:adjustRightInd w:val="0"/>
              <w:spacing w:after="50" w:line="240" w:lineRule="auto"/>
              <w:ind w:firstLine="0" w:firstLineChars="0"/>
              <w:jc w:val="center"/>
              <w:outlineLvl w:val="1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41" w:type="dxa"/>
            <w:vAlign w:val="center"/>
          </w:tcPr>
          <w:p w14:paraId="34AD719F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09090C23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Web of Science</w:t>
            </w:r>
          </w:p>
        </w:tc>
        <w:tc>
          <w:tcPr>
            <w:tcW w:w="504" w:type="dxa"/>
            <w:shd w:val="clear" w:color="auto" w:fill="auto"/>
            <w:vAlign w:val="center"/>
          </w:tcPr>
          <w:p w14:paraId="2C68B49D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否</w:t>
            </w:r>
          </w:p>
        </w:tc>
      </w:tr>
      <w:tr w14:paraId="0F11E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511" w:type="dxa"/>
            <w:vAlign w:val="center"/>
          </w:tcPr>
          <w:p w14:paraId="2A1E5CD7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396" w:type="dxa"/>
            <w:vAlign w:val="center"/>
          </w:tcPr>
          <w:p w14:paraId="50C24F44">
            <w:pPr>
              <w:adjustRightInd w:val="0"/>
              <w:snapToGrid w:val="0"/>
              <w:spacing w:line="240" w:lineRule="auto"/>
              <w:jc w:val="center"/>
              <w:rPr>
                <w:rStyle w:val="97"/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Hydrogen Sulfide Inhibits Formaldehyde-Induced Senescence in HT-22 Cells via Upregulation of Leptin Signaling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Zhu WW, Ning M, Peng YZ,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</w:rPr>
              <w:t> 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Tang YY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, Kang X, Zhan KB,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Zou W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,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 Zhang P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,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Tang XQ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50" w:type="dxa"/>
            <w:vAlign w:val="center"/>
          </w:tcPr>
          <w:p w14:paraId="7BDBE462">
            <w:pPr>
              <w:adjustRightInd w:val="0"/>
              <w:snapToGrid w:val="0"/>
              <w:spacing w:line="240" w:lineRule="auto"/>
              <w:jc w:val="center"/>
              <w:rPr>
                <w:rStyle w:val="97"/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Neuromolecular Med</w:t>
            </w:r>
          </w:p>
        </w:tc>
        <w:tc>
          <w:tcPr>
            <w:tcW w:w="927" w:type="dxa"/>
            <w:vAlign w:val="center"/>
          </w:tcPr>
          <w:p w14:paraId="31A34FB3">
            <w:pPr>
              <w:adjustRightInd w:val="0"/>
              <w:snapToGrid w:val="0"/>
              <w:spacing w:line="240" w:lineRule="auto"/>
              <w:jc w:val="center"/>
              <w:rPr>
                <w:rStyle w:val="97"/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2019;21(2):192-203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4A59C55B">
            <w:pPr>
              <w:pStyle w:val="13"/>
              <w:adjustRightInd w:val="0"/>
              <w:spacing w:after="50" w:line="240" w:lineRule="auto"/>
              <w:ind w:firstLine="0" w:firstLineChars="0"/>
              <w:outlineLvl w:val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31ECF0E">
            <w:pPr>
              <w:pStyle w:val="13"/>
              <w:adjustRightInd w:val="0"/>
              <w:spacing w:after="50" w:line="240" w:lineRule="auto"/>
              <w:ind w:firstLine="0" w:firstLineChars="0"/>
              <w:outlineLvl w:val="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Zhan</w:t>
            </w:r>
          </w:p>
          <w:p w14:paraId="61B9E4C6">
            <w:pPr>
              <w:pStyle w:val="13"/>
              <w:adjustRightInd w:val="0"/>
              <w:spacing w:after="50" w:line="240" w:lineRule="auto"/>
              <w:ind w:firstLine="0" w:firstLineChars="0"/>
              <w:outlineLvl w:val="1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KB ,Tang XQ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</w:p>
          <w:p w14:paraId="3C5B81E9">
            <w:pPr>
              <w:pStyle w:val="13"/>
              <w:adjustRightInd w:val="0"/>
              <w:spacing w:after="50" w:line="240" w:lineRule="auto"/>
              <w:ind w:firstLine="0" w:firstLineChars="0"/>
              <w:outlineLvl w:val="1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14:paraId="7D636868">
            <w:pPr>
              <w:pStyle w:val="13"/>
              <w:adjustRightInd w:val="0"/>
              <w:spacing w:after="50" w:line="240" w:lineRule="auto"/>
              <w:ind w:firstLine="0" w:firstLineChars="0"/>
              <w:outlineLvl w:val="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  <w:p w14:paraId="7447E287">
            <w:pPr>
              <w:pStyle w:val="13"/>
              <w:adjustRightInd w:val="0"/>
              <w:spacing w:after="50" w:line="240" w:lineRule="auto"/>
              <w:ind w:firstLine="0" w:firstLineChars="0"/>
              <w:outlineLvl w:val="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Zhu WW, </w:t>
            </w:r>
          </w:p>
          <w:p w14:paraId="00015CC0">
            <w:pPr>
              <w:pStyle w:val="13"/>
              <w:adjustRightInd w:val="0"/>
              <w:spacing w:after="50" w:line="240" w:lineRule="auto"/>
              <w:ind w:firstLine="0" w:firstLineChars="0"/>
              <w:outlineLvl w:val="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Ning M,</w:t>
            </w:r>
          </w:p>
          <w:p w14:paraId="0D7D0B0F">
            <w:pPr>
              <w:pStyle w:val="13"/>
              <w:adjustRightInd w:val="0"/>
              <w:spacing w:after="50" w:line="240" w:lineRule="auto"/>
              <w:ind w:firstLine="0" w:firstLineChars="0"/>
              <w:outlineLvl w:val="1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Peng YZ</w:t>
            </w:r>
          </w:p>
        </w:tc>
        <w:tc>
          <w:tcPr>
            <w:tcW w:w="641" w:type="dxa"/>
            <w:vAlign w:val="center"/>
          </w:tcPr>
          <w:p w14:paraId="578D9DAE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774AD79A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Web of Science</w:t>
            </w:r>
          </w:p>
        </w:tc>
        <w:tc>
          <w:tcPr>
            <w:tcW w:w="504" w:type="dxa"/>
            <w:shd w:val="clear" w:color="auto" w:fill="auto"/>
            <w:vAlign w:val="center"/>
          </w:tcPr>
          <w:p w14:paraId="062446BC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否</w:t>
            </w:r>
          </w:p>
        </w:tc>
      </w:tr>
      <w:tr w14:paraId="50E1E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511" w:type="dxa"/>
            <w:vAlign w:val="center"/>
          </w:tcPr>
          <w:p w14:paraId="3B6DF110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396" w:type="dxa"/>
            <w:vAlign w:val="center"/>
          </w:tcPr>
          <w:p w14:paraId="6FFD24F8">
            <w:pPr>
              <w:adjustRightInd w:val="0"/>
              <w:snapToGrid w:val="0"/>
              <w:spacing w:line="240" w:lineRule="auto"/>
              <w:jc w:val="center"/>
              <w:rPr>
                <w:rStyle w:val="97"/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12121"/>
                <w:sz w:val="24"/>
                <w:szCs w:val="24"/>
                <w:shd w:val="clear" w:color="auto" w:fill="FFFFFF"/>
              </w:rPr>
              <w:t>Inhibited Endogenous H</w:t>
            </w:r>
            <w:r>
              <w:rPr>
                <w:rFonts w:hint="eastAsia" w:ascii="宋体" w:hAnsi="宋体" w:eastAsia="宋体" w:cs="宋体"/>
                <w:color w:val="212121"/>
                <w:sz w:val="24"/>
                <w:szCs w:val="24"/>
                <w:shd w:val="clear" w:color="auto" w:fill="FFFFFF"/>
                <w:vertAlign w:val="subscript"/>
              </w:rPr>
              <w:t>2</w:t>
            </w:r>
            <w:r>
              <w:rPr>
                <w:rFonts w:hint="eastAsia" w:ascii="宋体" w:hAnsi="宋体" w:eastAsia="宋体" w:cs="宋体"/>
                <w:color w:val="212121"/>
                <w:sz w:val="24"/>
                <w:szCs w:val="24"/>
                <w:shd w:val="clear" w:color="auto" w:fill="FFFFFF"/>
              </w:rPr>
              <w:t>S Generation and Excessive Autophagy in Hippocampus Contribute to Sleep Deprivation-Induced Cognitive Impairment /</w:t>
            </w:r>
            <w:r>
              <w:rPr>
                <w:rFonts w:hint="eastAsia" w:ascii="宋体" w:hAnsi="宋体" w:eastAsia="宋体" w:cs="宋体"/>
                <w:b/>
                <w:color w:val="212121"/>
                <w:sz w:val="24"/>
                <w:szCs w:val="24"/>
                <w:shd w:val="clear" w:color="auto" w:fill="FFFFFF"/>
              </w:rPr>
              <w:t>Yang SQ</w:t>
            </w:r>
            <w:r>
              <w:rPr>
                <w:rFonts w:hint="eastAsia" w:ascii="宋体" w:hAnsi="宋体" w:eastAsia="宋体" w:cs="宋体"/>
                <w:color w:val="212121"/>
                <w:sz w:val="24"/>
                <w:szCs w:val="24"/>
                <w:shd w:val="clear" w:color="auto" w:fill="FFFFFF"/>
              </w:rPr>
              <w:t xml:space="preserve">, Jiang L, Lan F,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Wei HJ, Xie M,</w:t>
            </w:r>
            <w:r>
              <w:rPr>
                <w:rFonts w:hint="eastAsia" w:ascii="宋体" w:hAnsi="宋体" w:eastAsia="宋体" w:cs="宋体"/>
                <w:color w:val="212121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color w:val="212121"/>
                <w:sz w:val="24"/>
                <w:szCs w:val="24"/>
                <w:shd w:val="clear" w:color="auto" w:fill="FFFFFF"/>
              </w:rPr>
              <w:t>Zou W</w:t>
            </w:r>
            <w:r>
              <w:rPr>
                <w:rFonts w:hint="eastAsia" w:ascii="宋体" w:hAnsi="宋体" w:eastAsia="宋体" w:cs="宋体"/>
                <w:color w:val="212121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Zhang P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, Wang CY, Xie YR,</w:t>
            </w:r>
            <w:r>
              <w:rPr>
                <w:rFonts w:hint="eastAsia" w:ascii="宋体" w:hAnsi="宋体" w:eastAsia="宋体" w:cs="宋体"/>
                <w:color w:val="212121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color w:val="212121"/>
                <w:sz w:val="24"/>
                <w:szCs w:val="24"/>
                <w:shd w:val="clear" w:color="auto" w:fill="FFFFFF"/>
              </w:rPr>
              <w:t>Tang XQ</w:t>
            </w:r>
          </w:p>
        </w:tc>
        <w:tc>
          <w:tcPr>
            <w:tcW w:w="750" w:type="dxa"/>
            <w:vAlign w:val="center"/>
          </w:tcPr>
          <w:p w14:paraId="5C77A829">
            <w:pPr>
              <w:adjustRightInd w:val="0"/>
              <w:snapToGrid w:val="0"/>
              <w:spacing w:line="240" w:lineRule="auto"/>
              <w:jc w:val="center"/>
              <w:rPr>
                <w:rStyle w:val="97"/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12121"/>
                <w:sz w:val="24"/>
                <w:szCs w:val="24"/>
                <w:shd w:val="clear" w:color="auto" w:fill="FFFFFF"/>
              </w:rPr>
              <w:t>Front Psychol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4A2E8770">
            <w:pPr>
              <w:pStyle w:val="13"/>
              <w:adjustRightInd w:val="0"/>
              <w:spacing w:after="50" w:line="240" w:lineRule="auto"/>
              <w:ind w:firstLine="0" w:firstLineChars="0"/>
              <w:jc w:val="center"/>
              <w:outlineLvl w:val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08C0F2F">
            <w:pPr>
              <w:pStyle w:val="13"/>
              <w:adjustRightInd w:val="0"/>
              <w:spacing w:after="50" w:line="240" w:lineRule="auto"/>
              <w:ind w:firstLine="0" w:firstLineChars="0"/>
              <w:jc w:val="center"/>
              <w:outlineLvl w:val="1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2019;10:53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6888F5C7">
            <w:pPr>
              <w:pStyle w:val="13"/>
              <w:adjustRightInd w:val="0"/>
              <w:spacing w:after="50" w:line="240" w:lineRule="auto"/>
              <w:ind w:firstLine="0" w:firstLineChars="0"/>
              <w:outlineLvl w:val="1"/>
              <w:rPr>
                <w:rFonts w:hint="eastAsia" w:ascii="宋体" w:hAnsi="宋体" w:eastAsia="宋体" w:cs="宋体"/>
                <w:color w:val="212121"/>
                <w:sz w:val="24"/>
                <w:szCs w:val="24"/>
                <w:shd w:val="clear" w:color="auto" w:fill="FFFFFF"/>
              </w:rPr>
            </w:pPr>
          </w:p>
          <w:p w14:paraId="13F82EE2">
            <w:pPr>
              <w:pStyle w:val="13"/>
              <w:adjustRightInd w:val="0"/>
              <w:spacing w:after="50" w:line="240" w:lineRule="auto"/>
              <w:ind w:firstLine="0" w:firstLineChars="0"/>
              <w:outlineLvl w:val="1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12121"/>
                <w:sz w:val="24"/>
                <w:szCs w:val="24"/>
                <w:shd w:val="clear" w:color="auto" w:fill="FFFFFF"/>
              </w:rPr>
              <w:t>Zou W, TangXQ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2987DE9F">
            <w:pPr>
              <w:pStyle w:val="13"/>
              <w:adjustRightInd w:val="0"/>
              <w:spacing w:after="50" w:line="240" w:lineRule="auto"/>
              <w:ind w:firstLine="0" w:firstLineChars="0"/>
              <w:outlineLvl w:val="1"/>
              <w:rPr>
                <w:rFonts w:hint="eastAsia" w:ascii="宋体" w:hAnsi="宋体" w:eastAsia="宋体" w:cs="宋体"/>
                <w:color w:val="212121"/>
                <w:sz w:val="24"/>
                <w:szCs w:val="24"/>
                <w:shd w:val="clear" w:color="auto" w:fill="FFFFFF"/>
              </w:rPr>
            </w:pPr>
          </w:p>
          <w:p w14:paraId="4CADA3A7">
            <w:pPr>
              <w:pStyle w:val="13"/>
              <w:adjustRightInd w:val="0"/>
              <w:spacing w:after="50" w:line="240" w:lineRule="auto"/>
              <w:ind w:firstLine="0" w:firstLineChars="0"/>
              <w:outlineLvl w:val="1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12121"/>
                <w:sz w:val="24"/>
                <w:szCs w:val="24"/>
                <w:shd w:val="clear" w:color="auto" w:fill="FFFFFF"/>
              </w:rPr>
              <w:t>Yang SQ, Jiang L, Lan F</w:t>
            </w:r>
          </w:p>
        </w:tc>
        <w:tc>
          <w:tcPr>
            <w:tcW w:w="641" w:type="dxa"/>
            <w:vAlign w:val="center"/>
          </w:tcPr>
          <w:p w14:paraId="07303262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3E22CD2A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Web of Science</w:t>
            </w:r>
          </w:p>
        </w:tc>
        <w:tc>
          <w:tcPr>
            <w:tcW w:w="504" w:type="dxa"/>
            <w:shd w:val="clear" w:color="auto" w:fill="auto"/>
            <w:vAlign w:val="center"/>
          </w:tcPr>
          <w:p w14:paraId="0FEFE61B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否</w:t>
            </w:r>
          </w:p>
        </w:tc>
      </w:tr>
      <w:tr w14:paraId="58291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511" w:type="dxa"/>
            <w:vAlign w:val="center"/>
          </w:tcPr>
          <w:p w14:paraId="77B6D060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396" w:type="dxa"/>
            <w:vAlign w:val="center"/>
          </w:tcPr>
          <w:p w14:paraId="69FD813F">
            <w:pPr>
              <w:adjustRightInd w:val="0"/>
              <w:snapToGrid w:val="0"/>
              <w:spacing w:line="240" w:lineRule="auto"/>
              <w:jc w:val="center"/>
              <w:rPr>
                <w:rStyle w:val="97"/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Hydrogen Sulfide Attenuates β2-Microglobulin-Induced Cognitive Dysfunction: Involving Recovery of Hippocampal Autophagic Flux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Chen SM, Yi YL, Zeng D, 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Tang YY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, Kang X, 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Zhang P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, 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Zou W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, 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Tang XQ</w:t>
            </w:r>
          </w:p>
        </w:tc>
        <w:tc>
          <w:tcPr>
            <w:tcW w:w="750" w:type="dxa"/>
            <w:vAlign w:val="center"/>
          </w:tcPr>
          <w:p w14:paraId="27DBBFB6">
            <w:pPr>
              <w:adjustRightInd w:val="0"/>
              <w:snapToGrid w:val="0"/>
              <w:spacing w:line="240" w:lineRule="auto"/>
              <w:jc w:val="center"/>
              <w:rPr>
                <w:rStyle w:val="97"/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Front Behav Neurosci</w:t>
            </w:r>
          </w:p>
        </w:tc>
        <w:tc>
          <w:tcPr>
            <w:tcW w:w="927" w:type="dxa"/>
            <w:vAlign w:val="center"/>
          </w:tcPr>
          <w:p w14:paraId="42149847">
            <w:pPr>
              <w:adjustRightInd w:val="0"/>
              <w:snapToGrid w:val="0"/>
              <w:spacing w:line="240" w:lineRule="auto"/>
              <w:jc w:val="center"/>
              <w:rPr>
                <w:rStyle w:val="97"/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2019;13:244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33B45FD3">
            <w:pPr>
              <w:pStyle w:val="13"/>
              <w:adjustRightInd w:val="0"/>
              <w:spacing w:after="50" w:line="240" w:lineRule="auto"/>
              <w:ind w:firstLine="0" w:firstLineChars="0"/>
              <w:jc w:val="center"/>
              <w:outlineLvl w:val="1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12121"/>
                <w:sz w:val="24"/>
                <w:szCs w:val="24"/>
                <w:shd w:val="clear" w:color="auto" w:fill="FFFFFF"/>
              </w:rPr>
              <w:t>Zou W, TangXQ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42DFE5EA">
            <w:pPr>
              <w:pStyle w:val="13"/>
              <w:adjustRightInd w:val="0"/>
              <w:spacing w:after="50" w:line="240" w:lineRule="auto"/>
              <w:ind w:firstLine="0" w:firstLineChars="0"/>
              <w:jc w:val="center"/>
              <w:outlineLvl w:val="1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Chen SM, Yi YL, Zeng D</w:t>
            </w:r>
          </w:p>
        </w:tc>
        <w:tc>
          <w:tcPr>
            <w:tcW w:w="641" w:type="dxa"/>
            <w:vAlign w:val="center"/>
          </w:tcPr>
          <w:p w14:paraId="3AB6796F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522588D7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Web of Science</w:t>
            </w:r>
          </w:p>
        </w:tc>
        <w:tc>
          <w:tcPr>
            <w:tcW w:w="504" w:type="dxa"/>
            <w:shd w:val="clear" w:color="auto" w:fill="auto"/>
            <w:vAlign w:val="center"/>
          </w:tcPr>
          <w:p w14:paraId="7CE3CD66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否</w:t>
            </w:r>
          </w:p>
        </w:tc>
      </w:tr>
      <w:tr w14:paraId="3B6E7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511" w:type="dxa"/>
            <w:vAlign w:val="center"/>
          </w:tcPr>
          <w:p w14:paraId="72AAF4BA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396" w:type="dxa"/>
            <w:shd w:val="clear" w:color="auto" w:fill="auto"/>
            <w:vAlign w:val="center"/>
          </w:tcPr>
          <w:p w14:paraId="02179317">
            <w:pPr>
              <w:pStyle w:val="13"/>
              <w:adjustRightInd w:val="0"/>
              <w:spacing w:after="50" w:line="240" w:lineRule="auto"/>
              <w:ind w:firstLine="0" w:firstLineChars="0"/>
              <w:outlineLvl w:val="1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 xml:space="preserve">Hydrogen Sulfide Prevents Sleep Deprivation-Induced Hippocampal Damage by Upregulation of Sirt1 in the Hippocampus/ Zuo JX, </w:t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Li M;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 xml:space="preserve">  Jiang L, Lan F,  </w:t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Tang YY,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 xml:space="preserve"> Kang X, </w:t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Zou W,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 xml:space="preserve">  Wang CY, </w:t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Zhang P, Tang XQ</w:t>
            </w:r>
          </w:p>
        </w:tc>
        <w:tc>
          <w:tcPr>
            <w:tcW w:w="750" w:type="dxa"/>
            <w:vAlign w:val="center"/>
          </w:tcPr>
          <w:p w14:paraId="156E0F1D">
            <w:pPr>
              <w:adjustRightInd w:val="0"/>
              <w:snapToGrid w:val="0"/>
              <w:spacing w:line="240" w:lineRule="auto"/>
              <w:jc w:val="center"/>
              <w:rPr>
                <w:rStyle w:val="97"/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97"/>
                <w:rFonts w:hint="eastAsia" w:ascii="宋体" w:hAnsi="宋体" w:eastAsia="宋体" w:cs="宋体"/>
                <w:sz w:val="24"/>
                <w:szCs w:val="24"/>
              </w:rPr>
              <w:t xml:space="preserve">Front Neurosci </w:t>
            </w:r>
          </w:p>
        </w:tc>
        <w:tc>
          <w:tcPr>
            <w:tcW w:w="927" w:type="dxa"/>
            <w:vAlign w:val="center"/>
          </w:tcPr>
          <w:p w14:paraId="5FF81CB0">
            <w:pPr>
              <w:adjustRightInd w:val="0"/>
              <w:snapToGrid w:val="0"/>
              <w:spacing w:line="240" w:lineRule="auto"/>
              <w:jc w:val="center"/>
              <w:rPr>
                <w:rStyle w:val="97"/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97"/>
                <w:rFonts w:hint="eastAsia" w:ascii="宋体" w:hAnsi="宋体" w:eastAsia="宋体" w:cs="宋体"/>
                <w:sz w:val="24"/>
                <w:szCs w:val="24"/>
              </w:rPr>
              <w:t>2020;14:169</w:t>
            </w:r>
          </w:p>
        </w:tc>
        <w:tc>
          <w:tcPr>
            <w:tcW w:w="1132" w:type="dxa"/>
            <w:vAlign w:val="center"/>
          </w:tcPr>
          <w:p w14:paraId="66905192">
            <w:pPr>
              <w:adjustRightInd w:val="0"/>
              <w:snapToGrid w:val="0"/>
              <w:spacing w:line="240" w:lineRule="auto"/>
              <w:jc w:val="center"/>
              <w:rPr>
                <w:rStyle w:val="97"/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12121"/>
                <w:sz w:val="24"/>
                <w:szCs w:val="24"/>
                <w:shd w:val="clear" w:color="auto" w:fill="FFFFFF"/>
              </w:rPr>
              <w:t>Zou W, TangXQ</w:t>
            </w:r>
          </w:p>
        </w:tc>
        <w:tc>
          <w:tcPr>
            <w:tcW w:w="941" w:type="dxa"/>
            <w:vAlign w:val="center"/>
          </w:tcPr>
          <w:p w14:paraId="060B9D60">
            <w:pPr>
              <w:adjustRightInd w:val="0"/>
              <w:snapToGrid w:val="0"/>
              <w:spacing w:line="240" w:lineRule="auto"/>
              <w:jc w:val="center"/>
              <w:rPr>
                <w:rStyle w:val="97"/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Zuo JX, Li M, Jiang L</w:t>
            </w:r>
          </w:p>
        </w:tc>
        <w:tc>
          <w:tcPr>
            <w:tcW w:w="641" w:type="dxa"/>
            <w:vAlign w:val="center"/>
          </w:tcPr>
          <w:p w14:paraId="56E18753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3EAE2E00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Web of Science</w:t>
            </w:r>
          </w:p>
        </w:tc>
        <w:tc>
          <w:tcPr>
            <w:tcW w:w="504" w:type="dxa"/>
            <w:shd w:val="clear" w:color="auto" w:fill="auto"/>
            <w:vAlign w:val="center"/>
          </w:tcPr>
          <w:p w14:paraId="581A54AF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否</w:t>
            </w:r>
          </w:p>
        </w:tc>
      </w:tr>
      <w:tr w14:paraId="6950F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511" w:type="dxa"/>
            <w:vAlign w:val="center"/>
          </w:tcPr>
          <w:p w14:paraId="5C3EFCED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396" w:type="dxa"/>
            <w:shd w:val="clear" w:color="auto" w:fill="auto"/>
            <w:vAlign w:val="center"/>
          </w:tcPr>
          <w:p w14:paraId="2F4C82C9">
            <w:pPr>
              <w:pStyle w:val="13"/>
              <w:adjustRightInd w:val="0"/>
              <w:spacing w:after="50" w:line="240" w:lineRule="auto"/>
              <w:ind w:firstLine="0" w:firstLineChars="0"/>
              <w:outlineLvl w:val="1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S Attenuates Sleep Deprivation-Induced Cognitive Impairment by Reducing Excessive Autophagy via Hippocampal Sirt-1 in WISTAR RATS/ Gao S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Tang YY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Jiang L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,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Lan F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,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Li X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,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Zhang P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 xml:space="preserve">,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Zou W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Chen YJ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,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Tang XQ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B5102BB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24202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97"/>
                <w:rFonts w:hint="eastAsia" w:ascii="宋体" w:hAnsi="宋体" w:eastAsia="宋体" w:cs="宋体"/>
                <w:sz w:val="24"/>
                <w:szCs w:val="24"/>
              </w:rPr>
              <w:t>Neurochem Res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7917A4FF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24202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97"/>
                <w:rFonts w:hint="eastAsia" w:ascii="宋体" w:hAnsi="宋体" w:eastAsia="宋体" w:cs="宋体"/>
                <w:sz w:val="24"/>
                <w:szCs w:val="24"/>
              </w:rPr>
              <w:t>2021</w:t>
            </w:r>
            <w:r>
              <w:rPr>
                <w:rStyle w:val="97"/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; </w:t>
            </w:r>
            <w:r>
              <w:rPr>
                <w:rStyle w:val="97"/>
                <w:rFonts w:hint="eastAsia" w:ascii="宋体" w:hAnsi="宋体" w:eastAsia="宋体" w:cs="宋体"/>
                <w:sz w:val="24"/>
                <w:szCs w:val="24"/>
              </w:rPr>
              <w:t>46: 1941-1952.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09BDA27B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24202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Zhang P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,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Tang XQ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217FDC25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24202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Gao S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 Tang YY</w:t>
            </w:r>
          </w:p>
        </w:tc>
        <w:tc>
          <w:tcPr>
            <w:tcW w:w="641" w:type="dxa"/>
            <w:shd w:val="clear" w:color="auto" w:fill="auto"/>
            <w:vAlign w:val="center"/>
          </w:tcPr>
          <w:p w14:paraId="6F79E601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2D0B7711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Web of Science</w:t>
            </w:r>
          </w:p>
        </w:tc>
        <w:tc>
          <w:tcPr>
            <w:tcW w:w="504" w:type="dxa"/>
            <w:shd w:val="clear" w:color="auto" w:fill="auto"/>
            <w:vAlign w:val="center"/>
          </w:tcPr>
          <w:p w14:paraId="2580CB6E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否</w:t>
            </w:r>
          </w:p>
        </w:tc>
      </w:tr>
      <w:tr w14:paraId="5DF2B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657" w:type="dxa"/>
            <w:gridSpan w:val="6"/>
            <w:vAlign w:val="center"/>
          </w:tcPr>
          <w:p w14:paraId="3FE26504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641" w:type="dxa"/>
            <w:shd w:val="clear" w:color="auto" w:fill="auto"/>
            <w:vAlign w:val="center"/>
          </w:tcPr>
          <w:p w14:paraId="55E6836F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352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108B20D4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504" w:type="dxa"/>
            <w:shd w:val="clear" w:color="auto" w:fill="auto"/>
            <w:vAlign w:val="center"/>
          </w:tcPr>
          <w:p w14:paraId="24B4AD46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</w:tr>
    </w:tbl>
    <w:p w14:paraId="454EC78C">
      <w:pPr>
        <w:spacing w:line="240" w:lineRule="auto"/>
        <w:rPr>
          <w:rFonts w:hint="eastAsia" w:ascii="宋体" w:hAnsi="宋体" w:eastAsia="宋体" w:cs="宋体"/>
          <w:b/>
          <w:color w:val="000000"/>
          <w:sz w:val="24"/>
          <w:szCs w:val="24"/>
        </w:rPr>
      </w:pPr>
    </w:p>
    <w:p w14:paraId="66ADDE5E">
      <w:pPr>
        <w:pStyle w:val="46"/>
        <w:spacing w:line="240" w:lineRule="auto"/>
        <w:ind w:firstLine="0" w:firstLineChars="0"/>
        <w:rPr>
          <w:rFonts w:hint="eastAsia" w:ascii="宋体" w:hAnsi="宋体" w:eastAsia="宋体" w:cs="宋体"/>
          <w:bCs/>
          <w:color w:val="000000"/>
          <w:sz w:val="24"/>
          <w:szCs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GulliverRM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27134D">
    <w:pPr>
      <w:jc w:val="center"/>
      <w:rPr>
        <w:szCs w:val="21"/>
      </w:rPr>
    </w:pPr>
    <w:r>
      <w:rPr>
        <w:szCs w:val="21"/>
      </w:rPr>
      <w:fldChar w:fldCharType="begin"/>
    </w:r>
    <w:r>
      <w:rPr>
        <w:szCs w:val="21"/>
      </w:rPr>
      <w:instrText xml:space="preserve"> PAGE   \* MERGEFORMAT </w:instrText>
    </w:r>
    <w:r>
      <w:rPr>
        <w:szCs w:val="21"/>
      </w:rPr>
      <w:fldChar w:fldCharType="separate"/>
    </w:r>
    <w:r>
      <w:rPr>
        <w:szCs w:val="21"/>
        <w:lang w:val="zh-CN"/>
      </w:rPr>
      <w:t>2</w:t>
    </w:r>
    <w:r>
      <w:rPr>
        <w:szCs w:val="21"/>
      </w:rPr>
      <w:fldChar w:fldCharType="end"/>
    </w:r>
  </w:p>
  <w:p w14:paraId="4E1C390E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8A4"/>
    <w:rsid w:val="000025C3"/>
    <w:rsid w:val="000036D2"/>
    <w:rsid w:val="00004A34"/>
    <w:rsid w:val="00006B04"/>
    <w:rsid w:val="0001302A"/>
    <w:rsid w:val="00013EF8"/>
    <w:rsid w:val="00015972"/>
    <w:rsid w:val="00020BF0"/>
    <w:rsid w:val="00021AED"/>
    <w:rsid w:val="0002636C"/>
    <w:rsid w:val="00031C31"/>
    <w:rsid w:val="00033A67"/>
    <w:rsid w:val="000365DB"/>
    <w:rsid w:val="000408B1"/>
    <w:rsid w:val="00040982"/>
    <w:rsid w:val="0005094D"/>
    <w:rsid w:val="00052D5F"/>
    <w:rsid w:val="0006144F"/>
    <w:rsid w:val="000628B3"/>
    <w:rsid w:val="00065ABB"/>
    <w:rsid w:val="00074357"/>
    <w:rsid w:val="00077E6E"/>
    <w:rsid w:val="00081035"/>
    <w:rsid w:val="00083177"/>
    <w:rsid w:val="00084B4B"/>
    <w:rsid w:val="00091B11"/>
    <w:rsid w:val="0009340C"/>
    <w:rsid w:val="00094B2C"/>
    <w:rsid w:val="00095A08"/>
    <w:rsid w:val="0009676D"/>
    <w:rsid w:val="00096A70"/>
    <w:rsid w:val="00097E2D"/>
    <w:rsid w:val="000A036C"/>
    <w:rsid w:val="000A0AAA"/>
    <w:rsid w:val="000A0EA5"/>
    <w:rsid w:val="000A1951"/>
    <w:rsid w:val="000A3C15"/>
    <w:rsid w:val="000A40C2"/>
    <w:rsid w:val="000A5B57"/>
    <w:rsid w:val="000B0EA7"/>
    <w:rsid w:val="000B1CFD"/>
    <w:rsid w:val="000B396F"/>
    <w:rsid w:val="000C0783"/>
    <w:rsid w:val="000C44C9"/>
    <w:rsid w:val="000C596A"/>
    <w:rsid w:val="000C6450"/>
    <w:rsid w:val="000C744D"/>
    <w:rsid w:val="000D1F71"/>
    <w:rsid w:val="000D4B07"/>
    <w:rsid w:val="000D4C8E"/>
    <w:rsid w:val="000D55A1"/>
    <w:rsid w:val="000D58BE"/>
    <w:rsid w:val="000D710B"/>
    <w:rsid w:val="000E24E6"/>
    <w:rsid w:val="000E32C6"/>
    <w:rsid w:val="000E79BE"/>
    <w:rsid w:val="000F1A60"/>
    <w:rsid w:val="000F37E8"/>
    <w:rsid w:val="0010261B"/>
    <w:rsid w:val="001035BB"/>
    <w:rsid w:val="00106AB0"/>
    <w:rsid w:val="00107C1C"/>
    <w:rsid w:val="0011025D"/>
    <w:rsid w:val="00111863"/>
    <w:rsid w:val="001125C0"/>
    <w:rsid w:val="00112C74"/>
    <w:rsid w:val="00113DF8"/>
    <w:rsid w:val="00114598"/>
    <w:rsid w:val="00114B3B"/>
    <w:rsid w:val="0012065A"/>
    <w:rsid w:val="00120873"/>
    <w:rsid w:val="00122B50"/>
    <w:rsid w:val="0012696C"/>
    <w:rsid w:val="00131214"/>
    <w:rsid w:val="00131357"/>
    <w:rsid w:val="00144ED1"/>
    <w:rsid w:val="00162D56"/>
    <w:rsid w:val="00163D68"/>
    <w:rsid w:val="001663AC"/>
    <w:rsid w:val="00166D6C"/>
    <w:rsid w:val="00171475"/>
    <w:rsid w:val="00173F02"/>
    <w:rsid w:val="001767E8"/>
    <w:rsid w:val="00177264"/>
    <w:rsid w:val="001779C7"/>
    <w:rsid w:val="00177ADD"/>
    <w:rsid w:val="00180F50"/>
    <w:rsid w:val="001823EF"/>
    <w:rsid w:val="00182F7F"/>
    <w:rsid w:val="0018326E"/>
    <w:rsid w:val="001874EA"/>
    <w:rsid w:val="00190E82"/>
    <w:rsid w:val="0019280D"/>
    <w:rsid w:val="001930C1"/>
    <w:rsid w:val="00193512"/>
    <w:rsid w:val="001939AA"/>
    <w:rsid w:val="001952A4"/>
    <w:rsid w:val="001A007E"/>
    <w:rsid w:val="001A153F"/>
    <w:rsid w:val="001A1B9C"/>
    <w:rsid w:val="001A1FC5"/>
    <w:rsid w:val="001A702F"/>
    <w:rsid w:val="001B078A"/>
    <w:rsid w:val="001B0B0E"/>
    <w:rsid w:val="001B1B1F"/>
    <w:rsid w:val="001B60B0"/>
    <w:rsid w:val="001B7897"/>
    <w:rsid w:val="001C1010"/>
    <w:rsid w:val="001C175D"/>
    <w:rsid w:val="001C3F95"/>
    <w:rsid w:val="001C5613"/>
    <w:rsid w:val="001C72AB"/>
    <w:rsid w:val="001D00FB"/>
    <w:rsid w:val="001D1B54"/>
    <w:rsid w:val="001D2805"/>
    <w:rsid w:val="001D2904"/>
    <w:rsid w:val="001D5174"/>
    <w:rsid w:val="001E0BEC"/>
    <w:rsid w:val="001E1FAE"/>
    <w:rsid w:val="001E24FC"/>
    <w:rsid w:val="001E4EDF"/>
    <w:rsid w:val="001E6A92"/>
    <w:rsid w:val="001F56C8"/>
    <w:rsid w:val="00203413"/>
    <w:rsid w:val="002066C7"/>
    <w:rsid w:val="00206FE3"/>
    <w:rsid w:val="002073BB"/>
    <w:rsid w:val="002108BF"/>
    <w:rsid w:val="00212AED"/>
    <w:rsid w:val="002133C0"/>
    <w:rsid w:val="00214012"/>
    <w:rsid w:val="002151A2"/>
    <w:rsid w:val="0021566A"/>
    <w:rsid w:val="00217A26"/>
    <w:rsid w:val="00220225"/>
    <w:rsid w:val="0022190C"/>
    <w:rsid w:val="0022474B"/>
    <w:rsid w:val="00231F72"/>
    <w:rsid w:val="00241532"/>
    <w:rsid w:val="002416F6"/>
    <w:rsid w:val="0024196C"/>
    <w:rsid w:val="00246A9A"/>
    <w:rsid w:val="002473D0"/>
    <w:rsid w:val="002509A2"/>
    <w:rsid w:val="00250ED6"/>
    <w:rsid w:val="00255FEA"/>
    <w:rsid w:val="00260991"/>
    <w:rsid w:val="0026166B"/>
    <w:rsid w:val="002626F7"/>
    <w:rsid w:val="00264FFC"/>
    <w:rsid w:val="0026799E"/>
    <w:rsid w:val="002715BF"/>
    <w:rsid w:val="0027542C"/>
    <w:rsid w:val="0028557B"/>
    <w:rsid w:val="002875B5"/>
    <w:rsid w:val="00287ED6"/>
    <w:rsid w:val="00293CEC"/>
    <w:rsid w:val="00296C31"/>
    <w:rsid w:val="00297F1E"/>
    <w:rsid w:val="002A01CE"/>
    <w:rsid w:val="002A2085"/>
    <w:rsid w:val="002B3336"/>
    <w:rsid w:val="002B53B2"/>
    <w:rsid w:val="002B70B8"/>
    <w:rsid w:val="002B732A"/>
    <w:rsid w:val="002B7B2B"/>
    <w:rsid w:val="002C4B80"/>
    <w:rsid w:val="002C5708"/>
    <w:rsid w:val="002C7185"/>
    <w:rsid w:val="002C7A81"/>
    <w:rsid w:val="002C7D32"/>
    <w:rsid w:val="002D2F74"/>
    <w:rsid w:val="002D58D8"/>
    <w:rsid w:val="002D6642"/>
    <w:rsid w:val="002D68B4"/>
    <w:rsid w:val="002D70FC"/>
    <w:rsid w:val="002E2AC6"/>
    <w:rsid w:val="002E5825"/>
    <w:rsid w:val="002F0D08"/>
    <w:rsid w:val="002F2BCB"/>
    <w:rsid w:val="002F3AF1"/>
    <w:rsid w:val="002F4361"/>
    <w:rsid w:val="002F5E03"/>
    <w:rsid w:val="002F79AF"/>
    <w:rsid w:val="00304251"/>
    <w:rsid w:val="003111FC"/>
    <w:rsid w:val="00316D75"/>
    <w:rsid w:val="00317707"/>
    <w:rsid w:val="00320268"/>
    <w:rsid w:val="00320E9C"/>
    <w:rsid w:val="003212F8"/>
    <w:rsid w:val="00322E00"/>
    <w:rsid w:val="003316F7"/>
    <w:rsid w:val="0033293A"/>
    <w:rsid w:val="003361AD"/>
    <w:rsid w:val="00337488"/>
    <w:rsid w:val="00337D18"/>
    <w:rsid w:val="003427CD"/>
    <w:rsid w:val="00347438"/>
    <w:rsid w:val="003504C4"/>
    <w:rsid w:val="00350C5C"/>
    <w:rsid w:val="00355ED5"/>
    <w:rsid w:val="00356B31"/>
    <w:rsid w:val="00361B9C"/>
    <w:rsid w:val="00366173"/>
    <w:rsid w:val="00366423"/>
    <w:rsid w:val="00377920"/>
    <w:rsid w:val="003813B1"/>
    <w:rsid w:val="00382436"/>
    <w:rsid w:val="003847AF"/>
    <w:rsid w:val="00385EB8"/>
    <w:rsid w:val="0038729A"/>
    <w:rsid w:val="003874A0"/>
    <w:rsid w:val="003916C5"/>
    <w:rsid w:val="0039716F"/>
    <w:rsid w:val="003A0AE1"/>
    <w:rsid w:val="003B1D32"/>
    <w:rsid w:val="003B309F"/>
    <w:rsid w:val="003B57BD"/>
    <w:rsid w:val="003B71B2"/>
    <w:rsid w:val="003B7FC3"/>
    <w:rsid w:val="003C751B"/>
    <w:rsid w:val="003D015A"/>
    <w:rsid w:val="003D0202"/>
    <w:rsid w:val="003D1255"/>
    <w:rsid w:val="003D318E"/>
    <w:rsid w:val="003E3955"/>
    <w:rsid w:val="003E51D7"/>
    <w:rsid w:val="003E57FD"/>
    <w:rsid w:val="003E6193"/>
    <w:rsid w:val="003F000F"/>
    <w:rsid w:val="003F0865"/>
    <w:rsid w:val="003F0C02"/>
    <w:rsid w:val="003F59CD"/>
    <w:rsid w:val="003F73F2"/>
    <w:rsid w:val="00400E1E"/>
    <w:rsid w:val="00402A5C"/>
    <w:rsid w:val="00403026"/>
    <w:rsid w:val="0040453E"/>
    <w:rsid w:val="0040499E"/>
    <w:rsid w:val="00405222"/>
    <w:rsid w:val="00413D1D"/>
    <w:rsid w:val="0041534B"/>
    <w:rsid w:val="004252B2"/>
    <w:rsid w:val="0042594F"/>
    <w:rsid w:val="0043415F"/>
    <w:rsid w:val="004343E7"/>
    <w:rsid w:val="00435267"/>
    <w:rsid w:val="00437122"/>
    <w:rsid w:val="0044144F"/>
    <w:rsid w:val="00441EC8"/>
    <w:rsid w:val="004532DE"/>
    <w:rsid w:val="00454969"/>
    <w:rsid w:val="00455A24"/>
    <w:rsid w:val="00456606"/>
    <w:rsid w:val="00461F86"/>
    <w:rsid w:val="00462CE8"/>
    <w:rsid w:val="00472559"/>
    <w:rsid w:val="00473BE4"/>
    <w:rsid w:val="0048155D"/>
    <w:rsid w:val="00482471"/>
    <w:rsid w:val="004826C9"/>
    <w:rsid w:val="00484059"/>
    <w:rsid w:val="004854D8"/>
    <w:rsid w:val="00490D93"/>
    <w:rsid w:val="00491D53"/>
    <w:rsid w:val="004A0B22"/>
    <w:rsid w:val="004A53F8"/>
    <w:rsid w:val="004A611B"/>
    <w:rsid w:val="004B0A67"/>
    <w:rsid w:val="004B382D"/>
    <w:rsid w:val="004B4E66"/>
    <w:rsid w:val="004B678B"/>
    <w:rsid w:val="004B7139"/>
    <w:rsid w:val="004B746C"/>
    <w:rsid w:val="004C0C9E"/>
    <w:rsid w:val="004C1528"/>
    <w:rsid w:val="004C3642"/>
    <w:rsid w:val="004C6C2F"/>
    <w:rsid w:val="004C7E60"/>
    <w:rsid w:val="004D1587"/>
    <w:rsid w:val="004D3333"/>
    <w:rsid w:val="004D3A90"/>
    <w:rsid w:val="004D44C8"/>
    <w:rsid w:val="004D5207"/>
    <w:rsid w:val="004D7E87"/>
    <w:rsid w:val="004E03E3"/>
    <w:rsid w:val="004E04FD"/>
    <w:rsid w:val="004E3A08"/>
    <w:rsid w:val="004F3EF6"/>
    <w:rsid w:val="004F5E1F"/>
    <w:rsid w:val="004F634E"/>
    <w:rsid w:val="00502560"/>
    <w:rsid w:val="00502C21"/>
    <w:rsid w:val="00503D17"/>
    <w:rsid w:val="005060FF"/>
    <w:rsid w:val="00506960"/>
    <w:rsid w:val="00515690"/>
    <w:rsid w:val="0051676D"/>
    <w:rsid w:val="005204D5"/>
    <w:rsid w:val="00523025"/>
    <w:rsid w:val="0052318C"/>
    <w:rsid w:val="00523274"/>
    <w:rsid w:val="005300F6"/>
    <w:rsid w:val="00531B3A"/>
    <w:rsid w:val="00532F9A"/>
    <w:rsid w:val="00536131"/>
    <w:rsid w:val="00537616"/>
    <w:rsid w:val="00542BFE"/>
    <w:rsid w:val="00543588"/>
    <w:rsid w:val="005439BF"/>
    <w:rsid w:val="005510D5"/>
    <w:rsid w:val="00553507"/>
    <w:rsid w:val="00554D9B"/>
    <w:rsid w:val="00566D9F"/>
    <w:rsid w:val="0057225C"/>
    <w:rsid w:val="00574335"/>
    <w:rsid w:val="00574BCD"/>
    <w:rsid w:val="0057639C"/>
    <w:rsid w:val="00576CEE"/>
    <w:rsid w:val="00577E94"/>
    <w:rsid w:val="00581A1F"/>
    <w:rsid w:val="00584C15"/>
    <w:rsid w:val="00585302"/>
    <w:rsid w:val="0058778C"/>
    <w:rsid w:val="00587DFD"/>
    <w:rsid w:val="0059253C"/>
    <w:rsid w:val="00594163"/>
    <w:rsid w:val="00595FF1"/>
    <w:rsid w:val="00596B68"/>
    <w:rsid w:val="005A19DB"/>
    <w:rsid w:val="005A70EA"/>
    <w:rsid w:val="005B3710"/>
    <w:rsid w:val="005B65ED"/>
    <w:rsid w:val="005B6635"/>
    <w:rsid w:val="005B755B"/>
    <w:rsid w:val="005B7A68"/>
    <w:rsid w:val="005C0C3A"/>
    <w:rsid w:val="005C34AB"/>
    <w:rsid w:val="005C5C4F"/>
    <w:rsid w:val="005C6B5C"/>
    <w:rsid w:val="005D1876"/>
    <w:rsid w:val="005D379C"/>
    <w:rsid w:val="005E4040"/>
    <w:rsid w:val="005E45CA"/>
    <w:rsid w:val="005E5FC6"/>
    <w:rsid w:val="005F08BB"/>
    <w:rsid w:val="005F2EF1"/>
    <w:rsid w:val="005F679C"/>
    <w:rsid w:val="005F6FE9"/>
    <w:rsid w:val="005F7251"/>
    <w:rsid w:val="005F7FA8"/>
    <w:rsid w:val="00600D94"/>
    <w:rsid w:val="0060411D"/>
    <w:rsid w:val="00605C86"/>
    <w:rsid w:val="00606141"/>
    <w:rsid w:val="00610E67"/>
    <w:rsid w:val="00612800"/>
    <w:rsid w:val="006130BC"/>
    <w:rsid w:val="00615D8F"/>
    <w:rsid w:val="00617200"/>
    <w:rsid w:val="0062146B"/>
    <w:rsid w:val="00621B3E"/>
    <w:rsid w:val="00624998"/>
    <w:rsid w:val="00625E57"/>
    <w:rsid w:val="00627EBC"/>
    <w:rsid w:val="00630083"/>
    <w:rsid w:val="006314B8"/>
    <w:rsid w:val="00633BFA"/>
    <w:rsid w:val="006351FF"/>
    <w:rsid w:val="00636101"/>
    <w:rsid w:val="00636E37"/>
    <w:rsid w:val="00636EED"/>
    <w:rsid w:val="00641857"/>
    <w:rsid w:val="006447ED"/>
    <w:rsid w:val="0064524D"/>
    <w:rsid w:val="00662A30"/>
    <w:rsid w:val="006638DA"/>
    <w:rsid w:val="00663D52"/>
    <w:rsid w:val="00664898"/>
    <w:rsid w:val="00671F85"/>
    <w:rsid w:val="00673ED1"/>
    <w:rsid w:val="006779DB"/>
    <w:rsid w:val="00680528"/>
    <w:rsid w:val="00683407"/>
    <w:rsid w:val="00684106"/>
    <w:rsid w:val="006859B7"/>
    <w:rsid w:val="006929FD"/>
    <w:rsid w:val="00694616"/>
    <w:rsid w:val="00696A53"/>
    <w:rsid w:val="00697AF4"/>
    <w:rsid w:val="00697D0E"/>
    <w:rsid w:val="006A268C"/>
    <w:rsid w:val="006A2801"/>
    <w:rsid w:val="006A5F3A"/>
    <w:rsid w:val="006B4950"/>
    <w:rsid w:val="006B6A61"/>
    <w:rsid w:val="006C4796"/>
    <w:rsid w:val="006C51D5"/>
    <w:rsid w:val="006C5A51"/>
    <w:rsid w:val="006D0381"/>
    <w:rsid w:val="006D1AEB"/>
    <w:rsid w:val="006D679E"/>
    <w:rsid w:val="006E1565"/>
    <w:rsid w:val="006E3A4C"/>
    <w:rsid w:val="006E495F"/>
    <w:rsid w:val="006E5AAB"/>
    <w:rsid w:val="006E6A21"/>
    <w:rsid w:val="006E7BF6"/>
    <w:rsid w:val="006F4B94"/>
    <w:rsid w:val="006F6081"/>
    <w:rsid w:val="006F6855"/>
    <w:rsid w:val="006F75D3"/>
    <w:rsid w:val="006F7FDD"/>
    <w:rsid w:val="00701368"/>
    <w:rsid w:val="0070165D"/>
    <w:rsid w:val="007017CE"/>
    <w:rsid w:val="007021B4"/>
    <w:rsid w:val="00703527"/>
    <w:rsid w:val="00704734"/>
    <w:rsid w:val="007055E9"/>
    <w:rsid w:val="00706B3F"/>
    <w:rsid w:val="007117AF"/>
    <w:rsid w:val="00713318"/>
    <w:rsid w:val="00714ED2"/>
    <w:rsid w:val="00721EE3"/>
    <w:rsid w:val="00726FC2"/>
    <w:rsid w:val="007270CE"/>
    <w:rsid w:val="00730DBB"/>
    <w:rsid w:val="00734C2E"/>
    <w:rsid w:val="0073706B"/>
    <w:rsid w:val="007425C9"/>
    <w:rsid w:val="00743E22"/>
    <w:rsid w:val="00750E6B"/>
    <w:rsid w:val="007521DB"/>
    <w:rsid w:val="00752429"/>
    <w:rsid w:val="00752F22"/>
    <w:rsid w:val="00753ED3"/>
    <w:rsid w:val="0075676B"/>
    <w:rsid w:val="00761A15"/>
    <w:rsid w:val="00761A75"/>
    <w:rsid w:val="0076213D"/>
    <w:rsid w:val="00765849"/>
    <w:rsid w:val="00765EF9"/>
    <w:rsid w:val="0076716B"/>
    <w:rsid w:val="007673C6"/>
    <w:rsid w:val="007700F3"/>
    <w:rsid w:val="00774270"/>
    <w:rsid w:val="007745F7"/>
    <w:rsid w:val="00775142"/>
    <w:rsid w:val="00775C23"/>
    <w:rsid w:val="007760E3"/>
    <w:rsid w:val="0077754B"/>
    <w:rsid w:val="0078134B"/>
    <w:rsid w:val="007818BE"/>
    <w:rsid w:val="007831DB"/>
    <w:rsid w:val="00783B46"/>
    <w:rsid w:val="007852D4"/>
    <w:rsid w:val="0078657B"/>
    <w:rsid w:val="007903EE"/>
    <w:rsid w:val="0079414E"/>
    <w:rsid w:val="007969C8"/>
    <w:rsid w:val="007A1978"/>
    <w:rsid w:val="007A4E3B"/>
    <w:rsid w:val="007B00EF"/>
    <w:rsid w:val="007B4593"/>
    <w:rsid w:val="007D1CB7"/>
    <w:rsid w:val="007E190D"/>
    <w:rsid w:val="007E4277"/>
    <w:rsid w:val="007E4845"/>
    <w:rsid w:val="007E4BA8"/>
    <w:rsid w:val="007E58B3"/>
    <w:rsid w:val="007E7BE5"/>
    <w:rsid w:val="007E7C57"/>
    <w:rsid w:val="007F0FAC"/>
    <w:rsid w:val="007F1889"/>
    <w:rsid w:val="007F376D"/>
    <w:rsid w:val="007F7D9F"/>
    <w:rsid w:val="00801B74"/>
    <w:rsid w:val="0080255A"/>
    <w:rsid w:val="0080368E"/>
    <w:rsid w:val="008050A9"/>
    <w:rsid w:val="0080568F"/>
    <w:rsid w:val="00805970"/>
    <w:rsid w:val="00807324"/>
    <w:rsid w:val="00810DE5"/>
    <w:rsid w:val="008112C0"/>
    <w:rsid w:val="00812B37"/>
    <w:rsid w:val="00812CB7"/>
    <w:rsid w:val="008141B0"/>
    <w:rsid w:val="008218B2"/>
    <w:rsid w:val="008223A7"/>
    <w:rsid w:val="0082281D"/>
    <w:rsid w:val="008232ED"/>
    <w:rsid w:val="00826D18"/>
    <w:rsid w:val="008304AE"/>
    <w:rsid w:val="0083088B"/>
    <w:rsid w:val="00834C03"/>
    <w:rsid w:val="00837B08"/>
    <w:rsid w:val="00842184"/>
    <w:rsid w:val="00843183"/>
    <w:rsid w:val="008437FE"/>
    <w:rsid w:val="00843BC7"/>
    <w:rsid w:val="00847BCF"/>
    <w:rsid w:val="00852F29"/>
    <w:rsid w:val="008537BE"/>
    <w:rsid w:val="0085672C"/>
    <w:rsid w:val="008571FF"/>
    <w:rsid w:val="008574F0"/>
    <w:rsid w:val="008634A8"/>
    <w:rsid w:val="00864393"/>
    <w:rsid w:val="00874DC8"/>
    <w:rsid w:val="00875845"/>
    <w:rsid w:val="00875EBF"/>
    <w:rsid w:val="00876784"/>
    <w:rsid w:val="00876A2B"/>
    <w:rsid w:val="00877389"/>
    <w:rsid w:val="00880577"/>
    <w:rsid w:val="00881C3C"/>
    <w:rsid w:val="00882570"/>
    <w:rsid w:val="008830E8"/>
    <w:rsid w:val="00884747"/>
    <w:rsid w:val="00887F33"/>
    <w:rsid w:val="00890DA5"/>
    <w:rsid w:val="008970F3"/>
    <w:rsid w:val="008A1C2E"/>
    <w:rsid w:val="008A28BD"/>
    <w:rsid w:val="008B006D"/>
    <w:rsid w:val="008B01E6"/>
    <w:rsid w:val="008B0D5F"/>
    <w:rsid w:val="008B6753"/>
    <w:rsid w:val="008B6934"/>
    <w:rsid w:val="008C01E1"/>
    <w:rsid w:val="008C29A2"/>
    <w:rsid w:val="008C329F"/>
    <w:rsid w:val="008C34B0"/>
    <w:rsid w:val="008C6516"/>
    <w:rsid w:val="008C799B"/>
    <w:rsid w:val="008D0D9B"/>
    <w:rsid w:val="008D10FE"/>
    <w:rsid w:val="008D462B"/>
    <w:rsid w:val="008D47E0"/>
    <w:rsid w:val="008E0094"/>
    <w:rsid w:val="008E04DF"/>
    <w:rsid w:val="008E06EF"/>
    <w:rsid w:val="008E79A8"/>
    <w:rsid w:val="008F5AE2"/>
    <w:rsid w:val="008F5D46"/>
    <w:rsid w:val="00900D14"/>
    <w:rsid w:val="0090169A"/>
    <w:rsid w:val="00903CE9"/>
    <w:rsid w:val="00905D6D"/>
    <w:rsid w:val="0091098C"/>
    <w:rsid w:val="00911405"/>
    <w:rsid w:val="009171D4"/>
    <w:rsid w:val="00917D4B"/>
    <w:rsid w:val="0092110A"/>
    <w:rsid w:val="009249C2"/>
    <w:rsid w:val="0092595F"/>
    <w:rsid w:val="00925FDE"/>
    <w:rsid w:val="009269CB"/>
    <w:rsid w:val="00927005"/>
    <w:rsid w:val="00930AF2"/>
    <w:rsid w:val="00930EC2"/>
    <w:rsid w:val="00931259"/>
    <w:rsid w:val="009341B3"/>
    <w:rsid w:val="0093487A"/>
    <w:rsid w:val="00936D2E"/>
    <w:rsid w:val="00936E8C"/>
    <w:rsid w:val="00936EEE"/>
    <w:rsid w:val="0093714E"/>
    <w:rsid w:val="00940DBF"/>
    <w:rsid w:val="00940F47"/>
    <w:rsid w:val="0094144D"/>
    <w:rsid w:val="009417FD"/>
    <w:rsid w:val="0096228E"/>
    <w:rsid w:val="009739D0"/>
    <w:rsid w:val="00974A3B"/>
    <w:rsid w:val="00976A85"/>
    <w:rsid w:val="009810CF"/>
    <w:rsid w:val="009847DE"/>
    <w:rsid w:val="0098784B"/>
    <w:rsid w:val="009934A1"/>
    <w:rsid w:val="0099782F"/>
    <w:rsid w:val="009A0CEF"/>
    <w:rsid w:val="009A1EC9"/>
    <w:rsid w:val="009A7632"/>
    <w:rsid w:val="009B1956"/>
    <w:rsid w:val="009B3975"/>
    <w:rsid w:val="009B429E"/>
    <w:rsid w:val="009C1EE6"/>
    <w:rsid w:val="009C491A"/>
    <w:rsid w:val="009C4CCB"/>
    <w:rsid w:val="009C5E3F"/>
    <w:rsid w:val="009C626B"/>
    <w:rsid w:val="009C6496"/>
    <w:rsid w:val="009C66FE"/>
    <w:rsid w:val="009C6E4C"/>
    <w:rsid w:val="009D27C4"/>
    <w:rsid w:val="009D4351"/>
    <w:rsid w:val="009E03E8"/>
    <w:rsid w:val="009E570D"/>
    <w:rsid w:val="009F3A75"/>
    <w:rsid w:val="009F7708"/>
    <w:rsid w:val="00A011B5"/>
    <w:rsid w:val="00A041E5"/>
    <w:rsid w:val="00A04595"/>
    <w:rsid w:val="00A048B9"/>
    <w:rsid w:val="00A050B9"/>
    <w:rsid w:val="00A06407"/>
    <w:rsid w:val="00A06542"/>
    <w:rsid w:val="00A07F51"/>
    <w:rsid w:val="00A10329"/>
    <w:rsid w:val="00A12FAA"/>
    <w:rsid w:val="00A133B7"/>
    <w:rsid w:val="00A2131E"/>
    <w:rsid w:val="00A2415E"/>
    <w:rsid w:val="00A2426E"/>
    <w:rsid w:val="00A272DC"/>
    <w:rsid w:val="00A27E81"/>
    <w:rsid w:val="00A36AB6"/>
    <w:rsid w:val="00A46070"/>
    <w:rsid w:val="00A50FF0"/>
    <w:rsid w:val="00A52432"/>
    <w:rsid w:val="00A52F57"/>
    <w:rsid w:val="00A546A7"/>
    <w:rsid w:val="00A57222"/>
    <w:rsid w:val="00A6088C"/>
    <w:rsid w:val="00A60A57"/>
    <w:rsid w:val="00A62143"/>
    <w:rsid w:val="00A63D7E"/>
    <w:rsid w:val="00A6410B"/>
    <w:rsid w:val="00A64B2B"/>
    <w:rsid w:val="00A67047"/>
    <w:rsid w:val="00A71714"/>
    <w:rsid w:val="00A72B78"/>
    <w:rsid w:val="00A83D36"/>
    <w:rsid w:val="00A86B50"/>
    <w:rsid w:val="00A91D2A"/>
    <w:rsid w:val="00A91E53"/>
    <w:rsid w:val="00A91E5C"/>
    <w:rsid w:val="00A92CAA"/>
    <w:rsid w:val="00A938A4"/>
    <w:rsid w:val="00A95331"/>
    <w:rsid w:val="00A95AC8"/>
    <w:rsid w:val="00AA2040"/>
    <w:rsid w:val="00AA426C"/>
    <w:rsid w:val="00AA7C37"/>
    <w:rsid w:val="00AB0434"/>
    <w:rsid w:val="00AB07E8"/>
    <w:rsid w:val="00AC1695"/>
    <w:rsid w:val="00AC2B35"/>
    <w:rsid w:val="00AC56FD"/>
    <w:rsid w:val="00AC7AFE"/>
    <w:rsid w:val="00AD0272"/>
    <w:rsid w:val="00AD388F"/>
    <w:rsid w:val="00AD4BF9"/>
    <w:rsid w:val="00AD7827"/>
    <w:rsid w:val="00AE4755"/>
    <w:rsid w:val="00AE5BE9"/>
    <w:rsid w:val="00AF20DC"/>
    <w:rsid w:val="00AF3F3A"/>
    <w:rsid w:val="00AF5352"/>
    <w:rsid w:val="00AF7A7B"/>
    <w:rsid w:val="00B0082F"/>
    <w:rsid w:val="00B03622"/>
    <w:rsid w:val="00B0534E"/>
    <w:rsid w:val="00B06F3F"/>
    <w:rsid w:val="00B07A86"/>
    <w:rsid w:val="00B11D73"/>
    <w:rsid w:val="00B12AF5"/>
    <w:rsid w:val="00B13387"/>
    <w:rsid w:val="00B14207"/>
    <w:rsid w:val="00B142F9"/>
    <w:rsid w:val="00B15122"/>
    <w:rsid w:val="00B1732D"/>
    <w:rsid w:val="00B1798E"/>
    <w:rsid w:val="00B20079"/>
    <w:rsid w:val="00B212A9"/>
    <w:rsid w:val="00B250C7"/>
    <w:rsid w:val="00B26553"/>
    <w:rsid w:val="00B26C6B"/>
    <w:rsid w:val="00B2766B"/>
    <w:rsid w:val="00B30EBF"/>
    <w:rsid w:val="00B3248F"/>
    <w:rsid w:val="00B349F3"/>
    <w:rsid w:val="00B34C31"/>
    <w:rsid w:val="00B359BA"/>
    <w:rsid w:val="00B400D4"/>
    <w:rsid w:val="00B500C6"/>
    <w:rsid w:val="00B52C2F"/>
    <w:rsid w:val="00B5574E"/>
    <w:rsid w:val="00B635ED"/>
    <w:rsid w:val="00B64970"/>
    <w:rsid w:val="00B65FF3"/>
    <w:rsid w:val="00B70115"/>
    <w:rsid w:val="00B72728"/>
    <w:rsid w:val="00B73B98"/>
    <w:rsid w:val="00B7412B"/>
    <w:rsid w:val="00B761A7"/>
    <w:rsid w:val="00B76D8B"/>
    <w:rsid w:val="00B82846"/>
    <w:rsid w:val="00B8515E"/>
    <w:rsid w:val="00B870AF"/>
    <w:rsid w:val="00B87CE8"/>
    <w:rsid w:val="00B93012"/>
    <w:rsid w:val="00B95A0E"/>
    <w:rsid w:val="00B969AC"/>
    <w:rsid w:val="00B96FDC"/>
    <w:rsid w:val="00B971C6"/>
    <w:rsid w:val="00B976C3"/>
    <w:rsid w:val="00BA2219"/>
    <w:rsid w:val="00BA36BE"/>
    <w:rsid w:val="00BA50D5"/>
    <w:rsid w:val="00BA549D"/>
    <w:rsid w:val="00BA5B73"/>
    <w:rsid w:val="00BA72EE"/>
    <w:rsid w:val="00BB02A8"/>
    <w:rsid w:val="00BB6FE8"/>
    <w:rsid w:val="00BB750A"/>
    <w:rsid w:val="00BC27B9"/>
    <w:rsid w:val="00BC2EDC"/>
    <w:rsid w:val="00BC3068"/>
    <w:rsid w:val="00BC4DAF"/>
    <w:rsid w:val="00BC5C6B"/>
    <w:rsid w:val="00BC78D0"/>
    <w:rsid w:val="00BD051D"/>
    <w:rsid w:val="00BD2C7D"/>
    <w:rsid w:val="00BD32CF"/>
    <w:rsid w:val="00BD391B"/>
    <w:rsid w:val="00BD75BA"/>
    <w:rsid w:val="00BE293D"/>
    <w:rsid w:val="00BE32CA"/>
    <w:rsid w:val="00BF0BF6"/>
    <w:rsid w:val="00BF26CB"/>
    <w:rsid w:val="00BF2E37"/>
    <w:rsid w:val="00C01A84"/>
    <w:rsid w:val="00C070B5"/>
    <w:rsid w:val="00C10143"/>
    <w:rsid w:val="00C11CD7"/>
    <w:rsid w:val="00C12638"/>
    <w:rsid w:val="00C128A8"/>
    <w:rsid w:val="00C13A80"/>
    <w:rsid w:val="00C1497A"/>
    <w:rsid w:val="00C1620E"/>
    <w:rsid w:val="00C2491F"/>
    <w:rsid w:val="00C26479"/>
    <w:rsid w:val="00C27436"/>
    <w:rsid w:val="00C30A60"/>
    <w:rsid w:val="00C31C77"/>
    <w:rsid w:val="00C44263"/>
    <w:rsid w:val="00C44E95"/>
    <w:rsid w:val="00C4712D"/>
    <w:rsid w:val="00C47D3F"/>
    <w:rsid w:val="00C53763"/>
    <w:rsid w:val="00C57884"/>
    <w:rsid w:val="00C611B7"/>
    <w:rsid w:val="00C61C3E"/>
    <w:rsid w:val="00C62311"/>
    <w:rsid w:val="00C74337"/>
    <w:rsid w:val="00C74ACB"/>
    <w:rsid w:val="00C762A8"/>
    <w:rsid w:val="00C76D37"/>
    <w:rsid w:val="00C801EE"/>
    <w:rsid w:val="00C8049A"/>
    <w:rsid w:val="00C83696"/>
    <w:rsid w:val="00C85FC7"/>
    <w:rsid w:val="00C92A13"/>
    <w:rsid w:val="00C92CD9"/>
    <w:rsid w:val="00C953C8"/>
    <w:rsid w:val="00C96727"/>
    <w:rsid w:val="00C96BF3"/>
    <w:rsid w:val="00CA0143"/>
    <w:rsid w:val="00CA4459"/>
    <w:rsid w:val="00CA6329"/>
    <w:rsid w:val="00CA656C"/>
    <w:rsid w:val="00CB69A1"/>
    <w:rsid w:val="00CC2403"/>
    <w:rsid w:val="00CC53CE"/>
    <w:rsid w:val="00CC7E87"/>
    <w:rsid w:val="00CD27EF"/>
    <w:rsid w:val="00CD552A"/>
    <w:rsid w:val="00CD67D6"/>
    <w:rsid w:val="00CD7D6C"/>
    <w:rsid w:val="00CE0485"/>
    <w:rsid w:val="00CE217F"/>
    <w:rsid w:val="00CE3B5D"/>
    <w:rsid w:val="00CE3F34"/>
    <w:rsid w:val="00CE657D"/>
    <w:rsid w:val="00CE7AA9"/>
    <w:rsid w:val="00CF4C31"/>
    <w:rsid w:val="00D025DF"/>
    <w:rsid w:val="00D03C12"/>
    <w:rsid w:val="00D137BF"/>
    <w:rsid w:val="00D147F9"/>
    <w:rsid w:val="00D21232"/>
    <w:rsid w:val="00D22435"/>
    <w:rsid w:val="00D265E5"/>
    <w:rsid w:val="00D27CA4"/>
    <w:rsid w:val="00D31E9C"/>
    <w:rsid w:val="00D334D1"/>
    <w:rsid w:val="00D3492A"/>
    <w:rsid w:val="00D35AC9"/>
    <w:rsid w:val="00D36BF9"/>
    <w:rsid w:val="00D40208"/>
    <w:rsid w:val="00D40632"/>
    <w:rsid w:val="00D425C3"/>
    <w:rsid w:val="00D4274F"/>
    <w:rsid w:val="00D43B77"/>
    <w:rsid w:val="00D5050D"/>
    <w:rsid w:val="00D50D35"/>
    <w:rsid w:val="00D512B8"/>
    <w:rsid w:val="00D54E8F"/>
    <w:rsid w:val="00D56FF4"/>
    <w:rsid w:val="00D62C08"/>
    <w:rsid w:val="00D63E5B"/>
    <w:rsid w:val="00D64589"/>
    <w:rsid w:val="00D73317"/>
    <w:rsid w:val="00D82718"/>
    <w:rsid w:val="00D8732A"/>
    <w:rsid w:val="00D9385E"/>
    <w:rsid w:val="00D94208"/>
    <w:rsid w:val="00D96038"/>
    <w:rsid w:val="00D96E25"/>
    <w:rsid w:val="00DA04C5"/>
    <w:rsid w:val="00DA0DAA"/>
    <w:rsid w:val="00DA29A6"/>
    <w:rsid w:val="00DA3AFB"/>
    <w:rsid w:val="00DA65A1"/>
    <w:rsid w:val="00DA72EC"/>
    <w:rsid w:val="00DA7E7B"/>
    <w:rsid w:val="00DB59A4"/>
    <w:rsid w:val="00DB604E"/>
    <w:rsid w:val="00DB7DA7"/>
    <w:rsid w:val="00DC045B"/>
    <w:rsid w:val="00DC2508"/>
    <w:rsid w:val="00DC5C6B"/>
    <w:rsid w:val="00DC67F8"/>
    <w:rsid w:val="00DC6CC8"/>
    <w:rsid w:val="00DC798F"/>
    <w:rsid w:val="00DD0700"/>
    <w:rsid w:val="00DD4074"/>
    <w:rsid w:val="00DD56F8"/>
    <w:rsid w:val="00DD733F"/>
    <w:rsid w:val="00DE3526"/>
    <w:rsid w:val="00DF29D0"/>
    <w:rsid w:val="00E03148"/>
    <w:rsid w:val="00E03F8C"/>
    <w:rsid w:val="00E064DE"/>
    <w:rsid w:val="00E10150"/>
    <w:rsid w:val="00E11657"/>
    <w:rsid w:val="00E116A7"/>
    <w:rsid w:val="00E123DB"/>
    <w:rsid w:val="00E14684"/>
    <w:rsid w:val="00E22413"/>
    <w:rsid w:val="00E23086"/>
    <w:rsid w:val="00E24374"/>
    <w:rsid w:val="00E252E4"/>
    <w:rsid w:val="00E255C2"/>
    <w:rsid w:val="00E2760F"/>
    <w:rsid w:val="00E333B9"/>
    <w:rsid w:val="00E339CE"/>
    <w:rsid w:val="00E34977"/>
    <w:rsid w:val="00E35ED4"/>
    <w:rsid w:val="00E36C85"/>
    <w:rsid w:val="00E413A2"/>
    <w:rsid w:val="00E42586"/>
    <w:rsid w:val="00E4581D"/>
    <w:rsid w:val="00E46DEA"/>
    <w:rsid w:val="00E515E1"/>
    <w:rsid w:val="00E51E30"/>
    <w:rsid w:val="00E522C7"/>
    <w:rsid w:val="00E57ACF"/>
    <w:rsid w:val="00E616A4"/>
    <w:rsid w:val="00E6236F"/>
    <w:rsid w:val="00E66926"/>
    <w:rsid w:val="00E7116D"/>
    <w:rsid w:val="00E71609"/>
    <w:rsid w:val="00E736C2"/>
    <w:rsid w:val="00E7633A"/>
    <w:rsid w:val="00E76870"/>
    <w:rsid w:val="00E77319"/>
    <w:rsid w:val="00E84F8D"/>
    <w:rsid w:val="00E864DB"/>
    <w:rsid w:val="00E91197"/>
    <w:rsid w:val="00E92F0F"/>
    <w:rsid w:val="00E94ED1"/>
    <w:rsid w:val="00E97B16"/>
    <w:rsid w:val="00EA0A43"/>
    <w:rsid w:val="00EA1CC2"/>
    <w:rsid w:val="00EA2A63"/>
    <w:rsid w:val="00EA2D01"/>
    <w:rsid w:val="00EA479C"/>
    <w:rsid w:val="00EB06A5"/>
    <w:rsid w:val="00EB0F72"/>
    <w:rsid w:val="00EB2B05"/>
    <w:rsid w:val="00EB3962"/>
    <w:rsid w:val="00EB528C"/>
    <w:rsid w:val="00EB63D1"/>
    <w:rsid w:val="00EC00CC"/>
    <w:rsid w:val="00EC0375"/>
    <w:rsid w:val="00EC1281"/>
    <w:rsid w:val="00EC1685"/>
    <w:rsid w:val="00EC45DC"/>
    <w:rsid w:val="00EC5086"/>
    <w:rsid w:val="00EC6FB5"/>
    <w:rsid w:val="00ED1AC0"/>
    <w:rsid w:val="00ED3001"/>
    <w:rsid w:val="00ED5684"/>
    <w:rsid w:val="00ED5737"/>
    <w:rsid w:val="00EE0EDE"/>
    <w:rsid w:val="00EE3464"/>
    <w:rsid w:val="00EE71C8"/>
    <w:rsid w:val="00EF4D71"/>
    <w:rsid w:val="00EF7932"/>
    <w:rsid w:val="00F02113"/>
    <w:rsid w:val="00F02D21"/>
    <w:rsid w:val="00F07D6D"/>
    <w:rsid w:val="00F118A6"/>
    <w:rsid w:val="00F13A48"/>
    <w:rsid w:val="00F13E0C"/>
    <w:rsid w:val="00F15A99"/>
    <w:rsid w:val="00F16406"/>
    <w:rsid w:val="00F17791"/>
    <w:rsid w:val="00F179E8"/>
    <w:rsid w:val="00F20081"/>
    <w:rsid w:val="00F221A2"/>
    <w:rsid w:val="00F23AEF"/>
    <w:rsid w:val="00F27F82"/>
    <w:rsid w:val="00F31EF1"/>
    <w:rsid w:val="00F35433"/>
    <w:rsid w:val="00F361AA"/>
    <w:rsid w:val="00F37105"/>
    <w:rsid w:val="00F37AED"/>
    <w:rsid w:val="00F404F7"/>
    <w:rsid w:val="00F40C6E"/>
    <w:rsid w:val="00F47FD7"/>
    <w:rsid w:val="00F70381"/>
    <w:rsid w:val="00F73AC5"/>
    <w:rsid w:val="00F75006"/>
    <w:rsid w:val="00F759DE"/>
    <w:rsid w:val="00F767B5"/>
    <w:rsid w:val="00F82F15"/>
    <w:rsid w:val="00F8492D"/>
    <w:rsid w:val="00F85023"/>
    <w:rsid w:val="00F85213"/>
    <w:rsid w:val="00F8542C"/>
    <w:rsid w:val="00F85A5E"/>
    <w:rsid w:val="00F85B45"/>
    <w:rsid w:val="00F87427"/>
    <w:rsid w:val="00F903A9"/>
    <w:rsid w:val="00F911CD"/>
    <w:rsid w:val="00F95B5C"/>
    <w:rsid w:val="00FA36E3"/>
    <w:rsid w:val="00FA60C1"/>
    <w:rsid w:val="00FA6729"/>
    <w:rsid w:val="00FB05F3"/>
    <w:rsid w:val="00FB0C6A"/>
    <w:rsid w:val="00FB10E8"/>
    <w:rsid w:val="00FB2CA3"/>
    <w:rsid w:val="00FB4883"/>
    <w:rsid w:val="00FC2CEF"/>
    <w:rsid w:val="00FC318D"/>
    <w:rsid w:val="00FC5A3F"/>
    <w:rsid w:val="00FD0339"/>
    <w:rsid w:val="00FD3DDA"/>
    <w:rsid w:val="00FD437D"/>
    <w:rsid w:val="00FD531C"/>
    <w:rsid w:val="00FD5685"/>
    <w:rsid w:val="00FD5D49"/>
    <w:rsid w:val="00FD61A3"/>
    <w:rsid w:val="00FE000F"/>
    <w:rsid w:val="00FE4404"/>
    <w:rsid w:val="00FE7793"/>
    <w:rsid w:val="00FF07A4"/>
    <w:rsid w:val="00FF2E18"/>
    <w:rsid w:val="00FF3E08"/>
    <w:rsid w:val="00FF77F4"/>
    <w:rsid w:val="09934965"/>
    <w:rsid w:val="2F74733D"/>
    <w:rsid w:val="323A3507"/>
    <w:rsid w:val="6E17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nhideWhenUsed="0" w:uiPriority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qFormat="1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qFormat="1" w:unhideWhenUsed="0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name="Body Text Indent 2"/>
    <w:lsdException w:qFormat="1" w:unhideWhenUsed="0" w:uiPriority="0" w:name="Body Text Indent 3"/>
    <w:lsdException w:qFormat="1" w:unhideWhenUsed="0" w:uiPriority="0" w:name="Block Text"/>
    <w:lsdException w:qFormat="1" w:unhideWhenUsed="0" w:uiPriority="99" w:semiHidden="0" w:name="Hyperlink"/>
    <w:lsdException w:qFormat="1" w:unhideWhenUsed="0"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name="Document Map"/>
    <w:lsdException w:qFormat="1" w:unhideWhenUsed="0" w:uiPriority="0" w:semiHidden="0" w:name="Plain Text"/>
    <w:lsdException w:uiPriority="99" w:name="E-mail Signature"/>
    <w:lsdException w:qFormat="1" w:unhideWhenUsed="0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3">
    <w:name w:val="heading 1"/>
    <w:basedOn w:val="1"/>
    <w:next w:val="1"/>
    <w:link w:val="34"/>
    <w:autoRedefine/>
    <w:qFormat/>
    <w:uiPriority w:val="0"/>
    <w:pPr>
      <w:keepNext/>
      <w:spacing w:beforeLines="100" w:afterLines="50"/>
      <w:jc w:val="center"/>
      <w:outlineLvl w:val="0"/>
    </w:pPr>
    <w:rPr>
      <w:rFonts w:eastAsia="黑体"/>
      <w:b/>
      <w:sz w:val="44"/>
    </w:rPr>
  </w:style>
  <w:style w:type="paragraph" w:styleId="4">
    <w:name w:val="heading 2"/>
    <w:basedOn w:val="1"/>
    <w:next w:val="1"/>
    <w:link w:val="35"/>
    <w:autoRedefine/>
    <w:qFormat/>
    <w:uiPriority w:val="0"/>
    <w:pPr>
      <w:keepNext/>
      <w:keepLines/>
      <w:spacing w:before="260" w:after="260" w:line="416" w:lineRule="auto"/>
      <w:jc w:val="left"/>
      <w:outlineLvl w:val="1"/>
    </w:pPr>
    <w:rPr>
      <w:rFonts w:ascii="仿宋_GB2312" w:hAnsi="宋体" w:eastAsia="仿宋_GB2312"/>
      <w:b/>
      <w:bCs/>
      <w:sz w:val="30"/>
      <w:szCs w:val="30"/>
    </w:rPr>
  </w:style>
  <w:style w:type="paragraph" w:styleId="5">
    <w:name w:val="heading 3"/>
    <w:basedOn w:val="1"/>
    <w:next w:val="1"/>
    <w:link w:val="36"/>
    <w:autoRedefine/>
    <w:qFormat/>
    <w:uiPriority w:val="0"/>
    <w:pPr>
      <w:keepNext/>
      <w:keepLines/>
      <w:spacing w:before="260" w:after="260" w:line="413" w:lineRule="auto"/>
      <w:ind w:left="100" w:leftChars="100" w:right="210" w:rightChars="100"/>
      <w:jc w:val="left"/>
      <w:outlineLvl w:val="2"/>
    </w:pPr>
    <w:rPr>
      <w:rFonts w:eastAsia="仿宋_GB2312"/>
      <w:b/>
      <w:sz w:val="30"/>
    </w:rPr>
  </w:style>
  <w:style w:type="paragraph" w:styleId="6">
    <w:name w:val="heading 4"/>
    <w:basedOn w:val="1"/>
    <w:next w:val="1"/>
    <w:link w:val="37"/>
    <w:autoRedefine/>
    <w:qFormat/>
    <w:uiPriority w:val="0"/>
    <w:pPr>
      <w:keepNext/>
      <w:keepLines/>
      <w:spacing w:line="360" w:lineRule="auto"/>
      <w:ind w:left="1260" w:leftChars="600" w:right="1260" w:rightChars="600"/>
      <w:jc w:val="center"/>
      <w:outlineLvl w:val="3"/>
    </w:pPr>
    <w:rPr>
      <w:rFonts w:ascii="Cambria" w:hAnsi="Cambria"/>
      <w:bCs/>
      <w:sz w:val="28"/>
      <w:szCs w:val="28"/>
    </w:rPr>
  </w:style>
  <w:style w:type="character" w:default="1" w:styleId="29">
    <w:name w:val="Default Paragraph Font"/>
    <w:semiHidden/>
    <w:unhideWhenUsed/>
    <w:qFormat/>
    <w:uiPriority w:val="1"/>
  </w:style>
  <w:style w:type="table" w:default="1" w:styleId="2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7">
    <w:name w:val="Document Map"/>
    <w:basedOn w:val="1"/>
    <w:link w:val="52"/>
    <w:semiHidden/>
    <w:qFormat/>
    <w:uiPriority w:val="0"/>
    <w:pPr>
      <w:shd w:val="clear" w:color="auto" w:fill="000080"/>
    </w:pPr>
  </w:style>
  <w:style w:type="paragraph" w:styleId="8">
    <w:name w:val="annotation text"/>
    <w:basedOn w:val="1"/>
    <w:link w:val="94"/>
    <w:semiHidden/>
    <w:unhideWhenUsed/>
    <w:qFormat/>
    <w:uiPriority w:val="99"/>
    <w:pPr>
      <w:jc w:val="left"/>
    </w:pPr>
  </w:style>
  <w:style w:type="paragraph" w:styleId="9">
    <w:name w:val="Body Text"/>
    <w:basedOn w:val="1"/>
    <w:link w:val="45"/>
    <w:semiHidden/>
    <w:qFormat/>
    <w:uiPriority w:val="0"/>
    <w:pPr>
      <w:spacing w:after="120"/>
    </w:pPr>
  </w:style>
  <w:style w:type="paragraph" w:styleId="10">
    <w:name w:val="Body Text Indent"/>
    <w:basedOn w:val="1"/>
    <w:link w:val="53"/>
    <w:semiHidden/>
    <w:qFormat/>
    <w:uiPriority w:val="0"/>
    <w:pPr>
      <w:ind w:firstLine="660"/>
    </w:pPr>
    <w:rPr>
      <w:rFonts w:eastAsia="仿宋_GB2312"/>
      <w:sz w:val="32"/>
    </w:rPr>
  </w:style>
  <w:style w:type="paragraph" w:styleId="11">
    <w:name w:val="Block Text"/>
    <w:basedOn w:val="1"/>
    <w:semiHidden/>
    <w:qFormat/>
    <w:uiPriority w:val="0"/>
    <w:pPr>
      <w:ind w:left="359" w:leftChars="171" w:right="565" w:rightChars="269" w:firstLine="1"/>
      <w:jc w:val="center"/>
    </w:pPr>
    <w:rPr>
      <w:rFonts w:eastAsia="黑体"/>
      <w:b/>
      <w:bCs/>
      <w:sz w:val="32"/>
      <w:szCs w:val="24"/>
    </w:rPr>
  </w:style>
  <w:style w:type="paragraph" w:styleId="12">
    <w:name w:val="toc 3"/>
    <w:basedOn w:val="1"/>
    <w:next w:val="1"/>
    <w:autoRedefine/>
    <w:unhideWhenUsed/>
    <w:qFormat/>
    <w:uiPriority w:val="39"/>
    <w:pPr>
      <w:widowControl/>
      <w:spacing w:after="100" w:line="259" w:lineRule="auto"/>
      <w:ind w:left="44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13">
    <w:name w:val="Plain Text"/>
    <w:basedOn w:val="1"/>
    <w:link w:val="50"/>
    <w:qFormat/>
    <w:uiPriority w:val="0"/>
    <w:pPr>
      <w:spacing w:line="360" w:lineRule="auto"/>
      <w:ind w:firstLine="480" w:firstLineChars="200"/>
    </w:pPr>
    <w:rPr>
      <w:rFonts w:ascii="仿宋_GB2312"/>
      <w:sz w:val="24"/>
    </w:rPr>
  </w:style>
  <w:style w:type="paragraph" w:styleId="14">
    <w:name w:val="Date"/>
    <w:basedOn w:val="1"/>
    <w:next w:val="1"/>
    <w:link w:val="41"/>
    <w:semiHidden/>
    <w:qFormat/>
    <w:uiPriority w:val="99"/>
    <w:pPr>
      <w:ind w:left="100" w:leftChars="2500"/>
    </w:pPr>
    <w:rPr>
      <w:b/>
      <w:sz w:val="32"/>
    </w:rPr>
  </w:style>
  <w:style w:type="paragraph" w:styleId="15">
    <w:name w:val="Body Text Indent 2"/>
    <w:basedOn w:val="1"/>
    <w:link w:val="47"/>
    <w:semiHidden/>
    <w:qFormat/>
    <w:uiPriority w:val="0"/>
    <w:pPr>
      <w:spacing w:after="120" w:line="480" w:lineRule="auto"/>
      <w:ind w:left="420" w:leftChars="200"/>
    </w:pPr>
  </w:style>
  <w:style w:type="paragraph" w:styleId="16">
    <w:name w:val="Balloon Text"/>
    <w:basedOn w:val="1"/>
    <w:link w:val="56"/>
    <w:qFormat/>
    <w:uiPriority w:val="0"/>
    <w:rPr>
      <w:sz w:val="18"/>
    </w:rPr>
  </w:style>
  <w:style w:type="paragraph" w:styleId="17">
    <w:name w:val="footer"/>
    <w:basedOn w:val="1"/>
    <w:link w:val="5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8">
    <w:name w:val="header"/>
    <w:basedOn w:val="1"/>
    <w:link w:val="4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9">
    <w:name w:val="toc 1"/>
    <w:basedOn w:val="1"/>
    <w:next w:val="1"/>
    <w:autoRedefine/>
    <w:unhideWhenUsed/>
    <w:qFormat/>
    <w:uiPriority w:val="39"/>
    <w:pPr>
      <w:widowControl/>
      <w:tabs>
        <w:tab w:val="right" w:leader="dot" w:pos="8720"/>
      </w:tabs>
      <w:adjustRightInd w:val="0"/>
      <w:snapToGrid w:val="0"/>
      <w:spacing w:line="360" w:lineRule="auto"/>
      <w:ind w:right="220"/>
      <w:jc w:val="left"/>
    </w:pPr>
    <w:rPr>
      <w:rFonts w:eastAsiaTheme="minorEastAsia"/>
      <w:b/>
      <w:bCs/>
      <w:kern w:val="0"/>
      <w:sz w:val="22"/>
      <w:szCs w:val="22"/>
    </w:rPr>
  </w:style>
  <w:style w:type="paragraph" w:styleId="20">
    <w:name w:val="Body Text Indent 3"/>
    <w:basedOn w:val="1"/>
    <w:link w:val="70"/>
    <w:semiHidden/>
    <w:qFormat/>
    <w:uiPriority w:val="0"/>
    <w:pPr>
      <w:ind w:firstLine="420" w:firstLineChars="200"/>
    </w:pPr>
  </w:style>
  <w:style w:type="paragraph" w:styleId="21">
    <w:name w:val="toc 2"/>
    <w:basedOn w:val="1"/>
    <w:next w:val="1"/>
    <w:autoRedefine/>
    <w:unhideWhenUsed/>
    <w:qFormat/>
    <w:uiPriority w:val="39"/>
    <w:pPr>
      <w:widowControl/>
      <w:spacing w:after="100" w:line="259" w:lineRule="auto"/>
      <w:ind w:left="22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22">
    <w:name w:val="HTML Preformatted"/>
    <w:basedOn w:val="1"/>
    <w:link w:val="90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hAnsi="Courier New" w:eastAsia="黑体" w:cs="Courier New"/>
      <w:kern w:val="0"/>
      <w:sz w:val="20"/>
    </w:rPr>
  </w:style>
  <w:style w:type="paragraph" w:styleId="23">
    <w:name w:val="Normal (Web)"/>
    <w:basedOn w:val="1"/>
    <w:semiHidden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24">
    <w:name w:val="index 1"/>
    <w:basedOn w:val="1"/>
    <w:next w:val="1"/>
    <w:autoRedefine/>
    <w:semiHidden/>
    <w:qFormat/>
    <w:uiPriority w:val="0"/>
    <w:pPr>
      <w:widowControl/>
      <w:snapToGrid w:val="0"/>
    </w:pPr>
  </w:style>
  <w:style w:type="paragraph" w:styleId="25">
    <w:name w:val="Title"/>
    <w:basedOn w:val="1"/>
    <w:next w:val="1"/>
    <w:link w:val="62"/>
    <w:autoRedefine/>
    <w:qFormat/>
    <w:uiPriority w:val="0"/>
    <w:pPr>
      <w:spacing w:before="240" w:after="60"/>
      <w:jc w:val="center"/>
      <w:outlineLvl w:val="0"/>
    </w:pPr>
    <w:rPr>
      <w:rFonts w:ascii="Cambria" w:hAnsi="Cambria" w:eastAsia="黑体"/>
      <w:b/>
      <w:bCs/>
      <w:sz w:val="52"/>
      <w:szCs w:val="32"/>
    </w:rPr>
  </w:style>
  <w:style w:type="paragraph" w:styleId="26">
    <w:name w:val="annotation subject"/>
    <w:basedOn w:val="8"/>
    <w:next w:val="8"/>
    <w:link w:val="95"/>
    <w:semiHidden/>
    <w:unhideWhenUsed/>
    <w:qFormat/>
    <w:uiPriority w:val="99"/>
    <w:rPr>
      <w:b/>
      <w:bCs/>
    </w:rPr>
  </w:style>
  <w:style w:type="table" w:styleId="28">
    <w:name w:val="Table Grid"/>
    <w:basedOn w:val="27"/>
    <w:qFormat/>
    <w:uiPriority w:val="59"/>
    <w:rPr>
      <w:rFonts w:ascii="Calibri" w:hAnsi="Calibri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30">
    <w:name w:val="page number"/>
    <w:basedOn w:val="29"/>
    <w:semiHidden/>
    <w:qFormat/>
    <w:uiPriority w:val="0"/>
  </w:style>
  <w:style w:type="character" w:styleId="31">
    <w:name w:val="FollowedHyperlink"/>
    <w:semiHidden/>
    <w:qFormat/>
    <w:uiPriority w:val="0"/>
    <w:rPr>
      <w:color w:val="800080"/>
      <w:u w:val="single"/>
    </w:rPr>
  </w:style>
  <w:style w:type="character" w:styleId="32">
    <w:name w:val="Hyperlink"/>
    <w:qFormat/>
    <w:uiPriority w:val="99"/>
    <w:rPr>
      <w:color w:val="0000FF"/>
      <w:u w:val="single"/>
    </w:rPr>
  </w:style>
  <w:style w:type="character" w:styleId="33">
    <w:name w:val="annotation reference"/>
    <w:basedOn w:val="29"/>
    <w:semiHidden/>
    <w:unhideWhenUsed/>
    <w:qFormat/>
    <w:uiPriority w:val="99"/>
    <w:rPr>
      <w:sz w:val="21"/>
      <w:szCs w:val="21"/>
    </w:rPr>
  </w:style>
  <w:style w:type="character" w:customStyle="1" w:styleId="34">
    <w:name w:val="标题 1 字符1"/>
    <w:link w:val="3"/>
    <w:qFormat/>
    <w:uiPriority w:val="0"/>
    <w:rPr>
      <w:rFonts w:ascii="Times New Roman" w:hAnsi="Times New Roman" w:eastAsia="黑体" w:cs="Times New Roman"/>
      <w:b/>
      <w:sz w:val="44"/>
      <w:szCs w:val="20"/>
    </w:rPr>
  </w:style>
  <w:style w:type="character" w:customStyle="1" w:styleId="35">
    <w:name w:val="标题 2 字符"/>
    <w:basedOn w:val="29"/>
    <w:link w:val="4"/>
    <w:qFormat/>
    <w:uiPriority w:val="0"/>
    <w:rPr>
      <w:rFonts w:ascii="仿宋_GB2312" w:hAnsi="宋体" w:eastAsia="仿宋_GB2312" w:cs="Times New Roman"/>
      <w:b/>
      <w:bCs/>
      <w:sz w:val="30"/>
      <w:szCs w:val="30"/>
    </w:rPr>
  </w:style>
  <w:style w:type="character" w:customStyle="1" w:styleId="36">
    <w:name w:val="标题 3 字符1"/>
    <w:link w:val="5"/>
    <w:qFormat/>
    <w:uiPriority w:val="0"/>
    <w:rPr>
      <w:rFonts w:ascii="Times New Roman" w:hAnsi="Times New Roman" w:eastAsia="仿宋_GB2312" w:cs="Times New Roman"/>
      <w:b/>
      <w:sz w:val="30"/>
      <w:szCs w:val="20"/>
    </w:rPr>
  </w:style>
  <w:style w:type="character" w:customStyle="1" w:styleId="37">
    <w:name w:val="标题 4 字符"/>
    <w:basedOn w:val="29"/>
    <w:link w:val="6"/>
    <w:qFormat/>
    <w:uiPriority w:val="0"/>
    <w:rPr>
      <w:rFonts w:ascii="Cambria" w:hAnsi="Cambria" w:eastAsia="宋体" w:cs="Times New Roman"/>
      <w:bCs/>
      <w:sz w:val="28"/>
      <w:szCs w:val="28"/>
    </w:rPr>
  </w:style>
  <w:style w:type="character" w:customStyle="1" w:styleId="38">
    <w:name w:val="标题 1 字符"/>
    <w:basedOn w:val="29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39">
    <w:name w:val="标题 3 字符"/>
    <w:basedOn w:val="29"/>
    <w:semiHidden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40">
    <w:name w:val="Char Char"/>
    <w:qFormat/>
    <w:uiPriority w:val="0"/>
    <w:rPr>
      <w:rFonts w:eastAsia="宋体"/>
      <w:kern w:val="2"/>
      <w:sz w:val="18"/>
      <w:lang w:val="en-US" w:eastAsia="zh-CN"/>
    </w:rPr>
  </w:style>
  <w:style w:type="character" w:customStyle="1" w:styleId="41">
    <w:name w:val="日期 字符1"/>
    <w:link w:val="14"/>
    <w:semiHidden/>
    <w:qFormat/>
    <w:uiPriority w:val="0"/>
    <w:rPr>
      <w:rFonts w:ascii="Times New Roman" w:hAnsi="Times New Roman" w:eastAsia="宋体" w:cs="Times New Roman"/>
      <w:b/>
      <w:sz w:val="32"/>
      <w:szCs w:val="20"/>
    </w:rPr>
  </w:style>
  <w:style w:type="character" w:customStyle="1" w:styleId="42">
    <w:name w:val="日期 字符"/>
    <w:basedOn w:val="29"/>
    <w:semiHidden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43">
    <w:name w:val="页眉 字符1"/>
    <w:link w:val="18"/>
    <w:qFormat/>
    <w:uiPriority w:val="99"/>
    <w:rPr>
      <w:rFonts w:ascii="Times New Roman" w:hAnsi="Times New Roman" w:eastAsia="宋体" w:cs="Times New Roman"/>
      <w:sz w:val="18"/>
      <w:szCs w:val="20"/>
    </w:rPr>
  </w:style>
  <w:style w:type="character" w:customStyle="1" w:styleId="44">
    <w:name w:val="页眉 字符"/>
    <w:basedOn w:val="29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45">
    <w:name w:val="正文文本 字符"/>
    <w:basedOn w:val="29"/>
    <w:link w:val="9"/>
    <w:semiHidden/>
    <w:qFormat/>
    <w:uiPriority w:val="0"/>
    <w:rPr>
      <w:rFonts w:ascii="Times New Roman" w:hAnsi="Times New Roman" w:eastAsia="宋体" w:cs="Times New Roman"/>
      <w:szCs w:val="20"/>
    </w:rPr>
  </w:style>
  <w:style w:type="paragraph" w:customStyle="1" w:styleId="46">
    <w:name w:val="_Style 8"/>
    <w:basedOn w:val="1"/>
    <w:next w:val="1"/>
    <w:qFormat/>
    <w:uiPriority w:val="0"/>
    <w:pPr>
      <w:spacing w:line="360" w:lineRule="auto"/>
      <w:ind w:firstLine="480" w:firstLineChars="200"/>
    </w:pPr>
    <w:rPr>
      <w:rFonts w:ascii="仿宋_GB2312"/>
      <w:sz w:val="24"/>
    </w:rPr>
  </w:style>
  <w:style w:type="character" w:customStyle="1" w:styleId="47">
    <w:name w:val="正文文本缩进 2 字符1"/>
    <w:link w:val="15"/>
    <w:semiHidden/>
    <w:qFormat/>
    <w:uiPriority w:val="0"/>
    <w:rPr>
      <w:rFonts w:ascii="Times New Roman" w:hAnsi="Times New Roman" w:eastAsia="宋体" w:cs="Times New Roman"/>
      <w:szCs w:val="20"/>
    </w:rPr>
  </w:style>
  <w:style w:type="character" w:customStyle="1" w:styleId="48">
    <w:name w:val="正文文本缩进 2 字符"/>
    <w:basedOn w:val="29"/>
    <w:semiHidden/>
    <w:qFormat/>
    <w:uiPriority w:val="99"/>
    <w:rPr>
      <w:rFonts w:ascii="Times New Roman" w:hAnsi="Times New Roman" w:eastAsia="宋体" w:cs="Times New Roman"/>
      <w:szCs w:val="20"/>
    </w:rPr>
  </w:style>
  <w:style w:type="paragraph" w:customStyle="1" w:styleId="49">
    <w:name w:val="样式"/>
    <w:basedOn w:val="1"/>
    <w:next w:val="9"/>
    <w:qFormat/>
    <w:uiPriority w:val="0"/>
    <w:pPr>
      <w:autoSpaceDE w:val="0"/>
      <w:autoSpaceDN w:val="0"/>
      <w:adjustRightInd w:val="0"/>
    </w:pPr>
    <w:rPr>
      <w:rFonts w:eastAsia="方正仿宋简体"/>
      <w:sz w:val="24"/>
    </w:rPr>
  </w:style>
  <w:style w:type="character" w:customStyle="1" w:styleId="50">
    <w:name w:val="纯文本 字符"/>
    <w:basedOn w:val="29"/>
    <w:link w:val="13"/>
    <w:qFormat/>
    <w:uiPriority w:val="0"/>
    <w:rPr>
      <w:rFonts w:ascii="仿宋_GB2312" w:hAnsi="Times New Roman" w:eastAsia="宋体" w:cs="Times New Roman"/>
      <w:sz w:val="24"/>
      <w:szCs w:val="20"/>
    </w:rPr>
  </w:style>
  <w:style w:type="character" w:customStyle="1" w:styleId="51">
    <w:name w:val="页脚 字符"/>
    <w:basedOn w:val="29"/>
    <w:link w:val="17"/>
    <w:qFormat/>
    <w:uiPriority w:val="99"/>
    <w:rPr>
      <w:rFonts w:ascii="Times New Roman" w:hAnsi="Times New Roman" w:eastAsia="宋体" w:cs="Times New Roman"/>
      <w:sz w:val="18"/>
      <w:szCs w:val="20"/>
    </w:rPr>
  </w:style>
  <w:style w:type="character" w:customStyle="1" w:styleId="52">
    <w:name w:val="文档结构图 字符"/>
    <w:basedOn w:val="29"/>
    <w:link w:val="7"/>
    <w:semiHidden/>
    <w:qFormat/>
    <w:uiPriority w:val="0"/>
    <w:rPr>
      <w:rFonts w:ascii="Times New Roman" w:hAnsi="Times New Roman" w:eastAsia="宋体" w:cs="Times New Roman"/>
      <w:szCs w:val="20"/>
      <w:shd w:val="clear" w:color="auto" w:fill="000080"/>
    </w:rPr>
  </w:style>
  <w:style w:type="character" w:customStyle="1" w:styleId="53">
    <w:name w:val="正文文本缩进 字符1"/>
    <w:link w:val="10"/>
    <w:semiHidden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54">
    <w:name w:val="正文文本缩进 字符"/>
    <w:basedOn w:val="29"/>
    <w:semiHidden/>
    <w:qFormat/>
    <w:uiPriority w:val="99"/>
    <w:rPr>
      <w:rFonts w:ascii="Times New Roman" w:hAnsi="Times New Roman" w:eastAsia="宋体" w:cs="Times New Roman"/>
      <w:szCs w:val="20"/>
    </w:rPr>
  </w:style>
  <w:style w:type="paragraph" w:customStyle="1" w:styleId="55">
    <w:name w:val="lan"/>
    <w:basedOn w:val="1"/>
    <w:qFormat/>
    <w:uiPriority w:val="0"/>
    <w:pPr>
      <w:widowControl/>
      <w:spacing w:before="100" w:beforeAutospacing="1" w:after="100" w:afterAutospacing="1" w:line="320" w:lineRule="atLeast"/>
      <w:jc w:val="left"/>
    </w:pPr>
    <w:rPr>
      <w:rFonts w:ascii="宋体" w:hAnsi="宋体"/>
      <w:color w:val="003399"/>
      <w:kern w:val="0"/>
      <w:sz w:val="18"/>
    </w:rPr>
  </w:style>
  <w:style w:type="character" w:customStyle="1" w:styleId="56">
    <w:name w:val="批注框文本 字符"/>
    <w:basedOn w:val="29"/>
    <w:link w:val="16"/>
    <w:qFormat/>
    <w:uiPriority w:val="0"/>
    <w:rPr>
      <w:rFonts w:ascii="Times New Roman" w:hAnsi="Times New Roman" w:eastAsia="宋体" w:cs="Times New Roman"/>
      <w:sz w:val="18"/>
      <w:szCs w:val="20"/>
    </w:rPr>
  </w:style>
  <w:style w:type="character" w:customStyle="1" w:styleId="57">
    <w:name w:val="Char Char2"/>
    <w:qFormat/>
    <w:uiPriority w:val="0"/>
    <w:rPr>
      <w:rFonts w:ascii="仿宋_GB2312"/>
      <w:kern w:val="2"/>
      <w:sz w:val="24"/>
    </w:rPr>
  </w:style>
  <w:style w:type="character" w:customStyle="1" w:styleId="58">
    <w:name w:val="Char Char5"/>
    <w:qFormat/>
    <w:uiPriority w:val="0"/>
    <w:rPr>
      <w:rFonts w:ascii="仿宋_GB2312" w:hAnsi="宋体" w:eastAsia="仿宋_GB2312"/>
      <w:b/>
      <w:bCs/>
      <w:kern w:val="2"/>
      <w:sz w:val="30"/>
      <w:szCs w:val="30"/>
    </w:rPr>
  </w:style>
  <w:style w:type="paragraph" w:customStyle="1" w:styleId="59">
    <w:name w:val="TOC Heading"/>
    <w:basedOn w:val="3"/>
    <w:next w:val="1"/>
    <w:qFormat/>
    <w:uiPriority w:val="39"/>
    <w:pPr>
      <w:keepLines/>
      <w:widowControl/>
      <w:spacing w:beforeLines="0" w:afterLines="0" w:line="276" w:lineRule="auto"/>
      <w:jc w:val="left"/>
      <w:outlineLvl w:val="9"/>
    </w:pPr>
    <w:rPr>
      <w:rFonts w:ascii="Cambria" w:hAnsi="Cambria" w:eastAsia="宋体"/>
      <w:bCs/>
      <w:color w:val="365F91"/>
      <w:kern w:val="0"/>
      <w:sz w:val="28"/>
      <w:szCs w:val="28"/>
    </w:rPr>
  </w:style>
  <w:style w:type="paragraph" w:customStyle="1" w:styleId="60">
    <w:name w:val="_Style 44"/>
    <w:basedOn w:val="1"/>
    <w:next w:val="61"/>
    <w:qFormat/>
    <w:uiPriority w:val="34"/>
    <w:pPr>
      <w:ind w:firstLine="420" w:firstLineChars="200"/>
    </w:pPr>
    <w:rPr>
      <w:rFonts w:ascii="仿宋_GB2312" w:eastAsia="仿宋_GB2312"/>
      <w:spacing w:val="-4"/>
      <w:sz w:val="32"/>
    </w:rPr>
  </w:style>
  <w:style w:type="paragraph" w:styleId="61">
    <w:name w:val="List Paragraph"/>
    <w:basedOn w:val="1"/>
    <w:qFormat/>
    <w:uiPriority w:val="34"/>
    <w:pPr>
      <w:ind w:firstLine="420" w:firstLineChars="200"/>
    </w:pPr>
  </w:style>
  <w:style w:type="character" w:customStyle="1" w:styleId="62">
    <w:name w:val="标题 字符"/>
    <w:basedOn w:val="29"/>
    <w:link w:val="25"/>
    <w:qFormat/>
    <w:uiPriority w:val="0"/>
    <w:rPr>
      <w:rFonts w:ascii="Cambria" w:hAnsi="Cambria" w:eastAsia="黑体" w:cs="Times New Roman"/>
      <w:b/>
      <w:bCs/>
      <w:sz w:val="52"/>
      <w:szCs w:val="32"/>
    </w:rPr>
  </w:style>
  <w:style w:type="character" w:customStyle="1" w:styleId="63">
    <w:name w:val="Char Char3"/>
    <w:qFormat/>
    <w:uiPriority w:val="0"/>
    <w:rPr>
      <w:kern w:val="2"/>
      <w:sz w:val="21"/>
    </w:rPr>
  </w:style>
  <w:style w:type="character" w:customStyle="1" w:styleId="64">
    <w:name w:val="Char Char1"/>
    <w:qFormat/>
    <w:uiPriority w:val="0"/>
    <w:rPr>
      <w:rFonts w:eastAsia="仿宋_GB2312"/>
      <w:kern w:val="2"/>
      <w:sz w:val="32"/>
    </w:rPr>
  </w:style>
  <w:style w:type="character" w:customStyle="1" w:styleId="65">
    <w:name w:val="Char Char41"/>
    <w:qFormat/>
    <w:uiPriority w:val="0"/>
    <w:rPr>
      <w:rFonts w:ascii="Cambria" w:hAnsi="Cambria" w:eastAsia="黑体"/>
      <w:b/>
      <w:bCs/>
      <w:kern w:val="2"/>
      <w:sz w:val="52"/>
      <w:szCs w:val="32"/>
    </w:rPr>
  </w:style>
  <w:style w:type="character" w:customStyle="1" w:styleId="66">
    <w:name w:val="Char Char4"/>
    <w:qFormat/>
    <w:uiPriority w:val="0"/>
    <w:rPr>
      <w:rFonts w:ascii="Cambria" w:hAnsi="Cambria"/>
      <w:bCs/>
      <w:kern w:val="2"/>
      <w:sz w:val="28"/>
      <w:szCs w:val="28"/>
    </w:rPr>
  </w:style>
  <w:style w:type="paragraph" w:customStyle="1" w:styleId="67">
    <w:name w:val="样式 标题 2 + 非加粗"/>
    <w:basedOn w:val="4"/>
    <w:qFormat/>
    <w:uiPriority w:val="0"/>
    <w:pPr>
      <w:jc w:val="center"/>
    </w:pPr>
    <w:rPr>
      <w:rFonts w:eastAsia="宋体"/>
      <w:b w:val="0"/>
      <w:bCs w:val="0"/>
    </w:rPr>
  </w:style>
  <w:style w:type="paragraph" w:customStyle="1" w:styleId="68">
    <w:name w:val="样式 标题 3 + 左侧:  1 字符"/>
    <w:basedOn w:val="5"/>
    <w:qFormat/>
    <w:uiPriority w:val="0"/>
    <w:pPr>
      <w:ind w:left="210"/>
      <w:jc w:val="center"/>
    </w:pPr>
    <w:rPr>
      <w:rFonts w:eastAsia="宋体" w:cs="宋体"/>
      <w:b w:val="0"/>
      <w:bCs/>
    </w:rPr>
  </w:style>
  <w:style w:type="paragraph" w:customStyle="1" w:styleId="69">
    <w:name w:val="样式 标题 4 + 两端对齐"/>
    <w:basedOn w:val="6"/>
    <w:qFormat/>
    <w:uiPriority w:val="0"/>
    <w:rPr>
      <w:rFonts w:cs="宋体"/>
      <w:bCs w:val="0"/>
      <w:szCs w:val="20"/>
    </w:rPr>
  </w:style>
  <w:style w:type="character" w:customStyle="1" w:styleId="70">
    <w:name w:val="正文文本缩进 3 字符1"/>
    <w:link w:val="20"/>
    <w:semiHidden/>
    <w:qFormat/>
    <w:uiPriority w:val="0"/>
    <w:rPr>
      <w:rFonts w:ascii="Times New Roman" w:hAnsi="Times New Roman" w:eastAsia="宋体" w:cs="Times New Roman"/>
      <w:szCs w:val="20"/>
    </w:rPr>
  </w:style>
  <w:style w:type="character" w:customStyle="1" w:styleId="71">
    <w:name w:val="正文文本缩进 3 字符"/>
    <w:basedOn w:val="29"/>
    <w:semiHidden/>
    <w:qFormat/>
    <w:uiPriority w:val="99"/>
    <w:rPr>
      <w:rFonts w:ascii="Times New Roman" w:hAnsi="Times New Roman" w:eastAsia="宋体" w:cs="Times New Roman"/>
      <w:sz w:val="16"/>
      <w:szCs w:val="16"/>
    </w:rPr>
  </w:style>
  <w:style w:type="character" w:customStyle="1" w:styleId="72">
    <w:name w:val="页脚 Char"/>
    <w:qFormat/>
    <w:uiPriority w:val="99"/>
    <w:rPr>
      <w:rFonts w:ascii="仿宋_GB2312" w:eastAsia="仿宋_GB2312"/>
      <w:spacing w:val="-4"/>
      <w:kern w:val="2"/>
      <w:sz w:val="18"/>
    </w:rPr>
  </w:style>
  <w:style w:type="character" w:customStyle="1" w:styleId="73">
    <w:name w:val="标题 2 Char"/>
    <w:qFormat/>
    <w:uiPriority w:val="0"/>
    <w:rPr>
      <w:rFonts w:ascii="仿宋_GB2312" w:hAnsi="宋体" w:eastAsia="仿宋_GB2312"/>
      <w:b/>
      <w:bCs/>
      <w:kern w:val="2"/>
      <w:sz w:val="30"/>
      <w:szCs w:val="30"/>
    </w:rPr>
  </w:style>
  <w:style w:type="character" w:customStyle="1" w:styleId="74">
    <w:name w:val="标题 4 Char"/>
    <w:qFormat/>
    <w:uiPriority w:val="0"/>
    <w:rPr>
      <w:rFonts w:ascii="Cambria" w:hAnsi="Cambria"/>
      <w:bCs/>
      <w:kern w:val="2"/>
      <w:sz w:val="28"/>
      <w:szCs w:val="28"/>
    </w:rPr>
  </w:style>
  <w:style w:type="character" w:customStyle="1" w:styleId="75">
    <w:name w:val="纯文本 Char"/>
    <w:qFormat/>
    <w:uiPriority w:val="0"/>
    <w:rPr>
      <w:rFonts w:ascii="仿宋_GB2312"/>
      <w:kern w:val="2"/>
      <w:sz w:val="24"/>
    </w:rPr>
  </w:style>
  <w:style w:type="character" w:customStyle="1" w:styleId="76">
    <w:name w:val="文档结构图 Char"/>
    <w:qFormat/>
    <w:uiPriority w:val="0"/>
    <w:rPr>
      <w:kern w:val="2"/>
      <w:sz w:val="21"/>
      <w:shd w:val="clear" w:color="auto" w:fill="000080"/>
    </w:rPr>
  </w:style>
  <w:style w:type="character" w:customStyle="1" w:styleId="77">
    <w:name w:val="批注框文本 Char"/>
    <w:qFormat/>
    <w:uiPriority w:val="0"/>
    <w:rPr>
      <w:kern w:val="2"/>
      <w:sz w:val="18"/>
    </w:rPr>
  </w:style>
  <w:style w:type="character" w:customStyle="1" w:styleId="78">
    <w:name w:val="标题 Char"/>
    <w:qFormat/>
    <w:uiPriority w:val="0"/>
    <w:rPr>
      <w:rFonts w:ascii="Cambria" w:hAnsi="Cambria" w:eastAsia="黑体"/>
      <w:b/>
      <w:bCs/>
      <w:kern w:val="2"/>
      <w:sz w:val="52"/>
      <w:szCs w:val="32"/>
    </w:rPr>
  </w:style>
  <w:style w:type="character" w:customStyle="1" w:styleId="79">
    <w:name w:val="正文文本 Char"/>
    <w:qFormat/>
    <w:uiPriority w:val="0"/>
    <w:rPr>
      <w:kern w:val="2"/>
      <w:sz w:val="21"/>
      <w:szCs w:val="24"/>
    </w:rPr>
  </w:style>
  <w:style w:type="paragraph" w:customStyle="1" w:styleId="80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customStyle="1" w:styleId="81">
    <w:name w:val="Char Char21"/>
    <w:qFormat/>
    <w:uiPriority w:val="0"/>
    <w:rPr>
      <w:rFonts w:ascii="仿宋_GB2312"/>
      <w:kern w:val="2"/>
      <w:sz w:val="24"/>
    </w:rPr>
  </w:style>
  <w:style w:type="character" w:customStyle="1" w:styleId="82">
    <w:name w:val="Char Char51"/>
    <w:qFormat/>
    <w:uiPriority w:val="0"/>
    <w:rPr>
      <w:rFonts w:ascii="仿宋_GB2312" w:hAnsi="宋体" w:eastAsia="仿宋_GB2312"/>
      <w:b/>
      <w:bCs/>
      <w:kern w:val="2"/>
      <w:sz w:val="30"/>
      <w:szCs w:val="30"/>
    </w:rPr>
  </w:style>
  <w:style w:type="character" w:customStyle="1" w:styleId="83">
    <w:name w:val="Char Char31"/>
    <w:qFormat/>
    <w:uiPriority w:val="0"/>
    <w:rPr>
      <w:kern w:val="2"/>
      <w:sz w:val="21"/>
    </w:rPr>
  </w:style>
  <w:style w:type="character" w:customStyle="1" w:styleId="84">
    <w:name w:val="Char Char11"/>
    <w:qFormat/>
    <w:uiPriority w:val="0"/>
    <w:rPr>
      <w:rFonts w:eastAsia="仿宋_GB2312"/>
      <w:kern w:val="2"/>
      <w:sz w:val="32"/>
    </w:rPr>
  </w:style>
  <w:style w:type="character" w:customStyle="1" w:styleId="85">
    <w:name w:val="Char Char42"/>
    <w:qFormat/>
    <w:uiPriority w:val="0"/>
    <w:rPr>
      <w:rFonts w:ascii="Cambria" w:hAnsi="Cambria"/>
      <w:bCs/>
      <w:kern w:val="2"/>
      <w:sz w:val="28"/>
      <w:szCs w:val="28"/>
    </w:rPr>
  </w:style>
  <w:style w:type="paragraph" w:customStyle="1" w:styleId="86">
    <w:name w:val="已访问的超链接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87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8">
    <w:name w:val="标题1工作手册"/>
    <w:basedOn w:val="3"/>
    <w:link w:val="89"/>
    <w:qFormat/>
    <w:uiPriority w:val="0"/>
    <w:pPr>
      <w:keepNext w:val="0"/>
      <w:tabs>
        <w:tab w:val="left" w:pos="3223"/>
      </w:tabs>
      <w:kinsoku w:val="0"/>
      <w:overflowPunct w:val="0"/>
      <w:autoSpaceDE w:val="0"/>
      <w:autoSpaceDN w:val="0"/>
      <w:adjustRightInd w:val="0"/>
      <w:snapToGrid w:val="0"/>
      <w:spacing w:beforeLines="0" w:afterLines="0"/>
    </w:pPr>
    <w:rPr>
      <w:rFonts w:ascii="华文中宋" w:hAnsi="华文中宋" w:eastAsia="宋体"/>
      <w:bCs/>
      <w:kern w:val="44"/>
      <w:sz w:val="36"/>
      <w:szCs w:val="36"/>
    </w:rPr>
  </w:style>
  <w:style w:type="character" w:customStyle="1" w:styleId="89">
    <w:name w:val="标题1工作手册 字符"/>
    <w:basedOn w:val="34"/>
    <w:link w:val="88"/>
    <w:qFormat/>
    <w:uiPriority w:val="0"/>
    <w:rPr>
      <w:rFonts w:ascii="华文中宋" w:hAnsi="华文中宋" w:eastAsia="宋体" w:cs="Times New Roman"/>
      <w:bCs/>
      <w:kern w:val="44"/>
      <w:sz w:val="36"/>
      <w:szCs w:val="36"/>
    </w:rPr>
  </w:style>
  <w:style w:type="character" w:customStyle="1" w:styleId="90">
    <w:name w:val="HTML 预设格式 字符1"/>
    <w:link w:val="22"/>
    <w:qFormat/>
    <w:uiPriority w:val="0"/>
    <w:rPr>
      <w:rFonts w:ascii="黑体" w:hAnsi="Courier New" w:eastAsia="黑体" w:cs="Courier New"/>
      <w:kern w:val="0"/>
      <w:sz w:val="20"/>
      <w:szCs w:val="20"/>
    </w:rPr>
  </w:style>
  <w:style w:type="character" w:customStyle="1" w:styleId="91">
    <w:name w:val="HTML 预设格式 字符"/>
    <w:basedOn w:val="29"/>
    <w:semiHidden/>
    <w:qFormat/>
    <w:uiPriority w:val="99"/>
    <w:rPr>
      <w:rFonts w:ascii="Courier New" w:hAnsi="Courier New" w:eastAsia="宋体" w:cs="Courier New"/>
      <w:sz w:val="20"/>
      <w:szCs w:val="20"/>
    </w:rPr>
  </w:style>
  <w:style w:type="character" w:customStyle="1" w:styleId="92">
    <w:name w:val="Unresolved Mention"/>
    <w:basedOn w:val="2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93">
    <w:name w:val="未处理的提及1"/>
    <w:basedOn w:val="2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94">
    <w:name w:val="批注文字 字符"/>
    <w:basedOn w:val="29"/>
    <w:link w:val="8"/>
    <w:semiHidden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95">
    <w:name w:val="批注主题 字符"/>
    <w:basedOn w:val="94"/>
    <w:link w:val="26"/>
    <w:semiHidden/>
    <w:qFormat/>
    <w:uiPriority w:val="99"/>
    <w:rPr>
      <w:rFonts w:ascii="Times New Roman" w:hAnsi="Times New Roman" w:eastAsia="宋体" w:cs="Times New Roman"/>
      <w:b/>
      <w:bCs/>
      <w:szCs w:val="20"/>
    </w:rPr>
  </w:style>
  <w:style w:type="paragraph" w:customStyle="1" w:styleId="96">
    <w:name w:val="PlainText"/>
    <w:basedOn w:val="1"/>
    <w:qFormat/>
    <w:uiPriority w:val="0"/>
    <w:pPr>
      <w:widowControl/>
      <w:spacing w:line="360" w:lineRule="auto"/>
      <w:ind w:firstLine="480" w:firstLineChars="200"/>
      <w:textAlignment w:val="baseline"/>
    </w:pPr>
    <w:rPr>
      <w:rFonts w:ascii="仿宋_GB2312"/>
      <w:sz w:val="24"/>
    </w:rPr>
  </w:style>
  <w:style w:type="character" w:customStyle="1" w:styleId="97">
    <w:name w:val="UserStyle_0"/>
    <w:qFormat/>
    <w:uiPriority w:val="0"/>
    <w:rPr>
      <w:rFonts w:ascii="GulliverRM" w:hAnsi="GulliverRM"/>
      <w:color w:val="242021"/>
      <w:sz w:val="28"/>
      <w:szCs w:val="28"/>
    </w:rPr>
  </w:style>
  <w:style w:type="character" w:customStyle="1" w:styleId="98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9268A5-C023-4D79-89FF-BF59D8C9A50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1550</Words>
  <Characters>3630</Characters>
  <Lines>390</Lines>
  <Paragraphs>109</Paragraphs>
  <TotalTime>1</TotalTime>
  <ScaleCrop>false</ScaleCrop>
  <LinksUpToDate>false</LinksUpToDate>
  <CharactersWithSpaces>4093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2023-02-24T10:46:00Z</dcterms:created>
  <dc:creator>lenovo</dc:creator>
  <cp:lastModifiedBy>；^ ）</cp:lastModifiedBy>
  <cp:lastPrinted>2023-03-08T05:28:00Z</cp:lastPrinted>
  <dcterms:modified xsi:type="dcterms:W3CDTF">2025-03-05T03:28:43Z</dcterms:modified>
  <cp:revision>105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eyJoZGlkIjoiYjkwYmYxYzQzNTkzODczN2E4NzAzMmRmZmE5NmFlYWIiLCJ1c2VySWQiOiI1NzY4NTQyNTkifQ==</vt:lpwstr>
  </property>
  <property fmtid="{D5CDD505-2E9C-101B-9397-08002B2CF9AE}" pid="3" name="KSOProductBuildVer">
    <vt:lpwstr>2052-12.1.0.20305</vt:lpwstr>
  </property>
  <property fmtid="{D5CDD505-2E9C-101B-9397-08002B2CF9AE}" pid="4" name="ICV">
    <vt:lpwstr>9E74EC957572429997504D5D55BC7ECF_13</vt:lpwstr>
  </property>
</Properties>
</file>