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AA16">
      <w:pPr>
        <w:tabs>
          <w:tab w:val="left" w:pos="1703"/>
        </w:tabs>
        <w:jc w:val="center"/>
        <w:rPr>
          <w:rFonts w:hint="eastAsia"/>
          <w:b/>
          <w:bCs/>
          <w:lang w:val="en-US" w:eastAsia="zh-CN"/>
        </w:rPr>
      </w:pPr>
      <w:r>
        <w:rPr>
          <w:rFonts w:hint="eastAsia"/>
          <w:b/>
          <w:bCs/>
          <w:lang w:val="en-US" w:eastAsia="zh-CN"/>
        </w:rPr>
        <w:t>公示内容</w:t>
      </w:r>
    </w:p>
    <w:p w14:paraId="4D1C1D35">
      <w:pPr>
        <w:rPr>
          <w:rFonts w:hint="eastAsia"/>
          <w:lang w:val="en-US" w:eastAsia="zh-CN"/>
        </w:rPr>
      </w:pPr>
      <w:r>
        <w:rPr>
          <w:rFonts w:hint="eastAsia"/>
          <w:b/>
          <w:bCs/>
          <w:lang w:val="en-US" w:eastAsia="zh-CN"/>
        </w:rPr>
        <w:t>项目名称：</w:t>
      </w:r>
      <w:r>
        <w:rPr>
          <w:rFonts w:hint="eastAsia"/>
          <w:lang w:val="en-US" w:eastAsia="zh-CN"/>
        </w:rPr>
        <w:t>胃癌分子机制与治疗靶点的多维度基础研究</w:t>
      </w:r>
    </w:p>
    <w:p w14:paraId="4A2997DA">
      <w:pPr>
        <w:pStyle w:val="2"/>
        <w:ind w:left="0" w:leftChars="0" w:firstLine="0" w:firstLineChars="0"/>
        <w:rPr>
          <w:rFonts w:hint="default"/>
          <w:lang w:val="en-US" w:eastAsia="zh-CN"/>
        </w:rPr>
      </w:pPr>
      <w:r>
        <w:rPr>
          <w:rFonts w:hint="eastAsia" w:ascii="Times New Roman" w:hAnsi="Times New Roman" w:eastAsia="楷体" w:cstheme="minorBidi"/>
          <w:b/>
          <w:bCs/>
          <w:kern w:val="2"/>
          <w:sz w:val="28"/>
          <w:szCs w:val="28"/>
          <w:lang w:val="en-US" w:eastAsia="zh-CN" w:bidi="ar-SA"/>
        </w:rPr>
        <w:t>推荐单位：</w:t>
      </w:r>
      <w:r>
        <w:rPr>
          <w:rFonts w:hint="eastAsia"/>
          <w:lang w:val="en-US" w:eastAsia="zh-CN"/>
        </w:rPr>
        <w:t>南华大学</w:t>
      </w:r>
    </w:p>
    <w:p w14:paraId="7BF66FCF">
      <w:pPr>
        <w:rPr>
          <w:rFonts w:hint="eastAsia"/>
          <w:lang w:val="en-US" w:eastAsia="zh-CN"/>
        </w:rPr>
      </w:pPr>
      <w:r>
        <w:rPr>
          <w:rFonts w:hint="eastAsia"/>
          <w:b/>
          <w:bCs/>
          <w:lang w:val="en-US" w:eastAsia="zh-CN"/>
        </w:rPr>
        <w:t>主要完成单位</w:t>
      </w:r>
      <w:r>
        <w:rPr>
          <w:rFonts w:hint="eastAsia"/>
          <w:lang w:val="en-US" w:eastAsia="zh-CN"/>
        </w:rPr>
        <w:t>：南华大学附属第二医院</w:t>
      </w:r>
    </w:p>
    <w:p w14:paraId="35CF9265">
      <w:pPr>
        <w:rPr>
          <w:rFonts w:hint="eastAsia"/>
          <w:lang w:val="en-US" w:eastAsia="zh-CN"/>
        </w:rPr>
      </w:pPr>
      <w:r>
        <w:rPr>
          <w:rFonts w:hint="eastAsia"/>
          <w:b/>
          <w:bCs/>
          <w:lang w:val="en-US" w:eastAsia="zh-CN"/>
        </w:rPr>
        <w:t>主要完成人：</w:t>
      </w:r>
      <w:r>
        <w:rPr>
          <w:rFonts w:hint="eastAsia"/>
          <w:lang w:val="en-US" w:eastAsia="zh-CN"/>
        </w:rPr>
        <w:t>李国庆、刘罗根、胡立苗、陈宏辉</w:t>
      </w:r>
      <w:bookmarkStart w:id="0" w:name="_GoBack"/>
      <w:bookmarkEnd w:id="0"/>
    </w:p>
    <w:p w14:paraId="4EE76B5A">
      <w:pPr>
        <w:rPr>
          <w:rFonts w:hint="eastAsia"/>
          <w:lang w:val="en-US" w:eastAsia="zh-CN"/>
        </w:rPr>
      </w:pPr>
      <w:r>
        <w:rPr>
          <w:rFonts w:hint="eastAsia"/>
          <w:b/>
          <w:bCs/>
          <w:lang w:val="en-US" w:eastAsia="zh-CN"/>
        </w:rPr>
        <w:t>项目简介</w:t>
      </w:r>
      <w:r>
        <w:rPr>
          <w:rFonts w:hint="eastAsia"/>
          <w:lang w:val="en-US" w:eastAsia="zh-CN"/>
        </w:rPr>
        <w:t>：本系列研究聚焦胃癌分子机制与治疗靶点的多维度基础研究，揭示了多个关键分子在胃癌发生发展中的调控作用。研究发现，MFAP2通过调控细胞外基质重塑促进胃癌侵袭和转移；长链非编码RNA ASAP1-IT1和环状RNA作为新型生物标志物，在胃癌进展和预后评估中具有重要价值。同时，研究阐明了巨噬细胞迁移抑制因子（MIF）通过PI3K/Akt通路显著促进胃癌细胞的增殖和活动，并揭示了阿司匹林和环氧合酶（COX）基因在幽门螺杆菌诱导的胃癌炎症和异位增生中的双重作用。此外，研究首次报道了免疫检查点抑制剂信迪利单抗诱导的急性糜烂性出血性胃炎病例，为临床用药安全提供了重要参考。这些成果为胃癌的早期诊断、预后评估和靶向治疗提供了重要的理论依据，具有显著的科研价值和临床应用潜力。</w:t>
      </w:r>
    </w:p>
    <w:p w14:paraId="1E0BB670">
      <w:pPr>
        <w:rPr>
          <w:rFonts w:hint="eastAsia"/>
          <w:b/>
          <w:bCs/>
          <w:lang w:val="en-US" w:eastAsia="zh-CN"/>
        </w:rPr>
      </w:pPr>
      <w:r>
        <w:rPr>
          <w:rFonts w:hint="eastAsia"/>
          <w:b/>
          <w:bCs/>
          <w:lang w:val="en-US" w:eastAsia="zh-CN"/>
        </w:rPr>
        <w:t>代表性论文目录：</w:t>
      </w:r>
    </w:p>
    <w:p w14:paraId="5829C0FE">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eastAsia="宋体"/>
          <w:sz w:val="21"/>
          <w:szCs w:val="21"/>
        </w:rPr>
        <w:t>Liu Y, Hu C, Qu X, Chen H, Liu L, Zhou L, Liu S,</w:t>
      </w:r>
      <w:r>
        <w:rPr>
          <w:rFonts w:eastAsia="宋体"/>
          <w:b/>
          <w:bCs/>
          <w:sz w:val="21"/>
          <w:szCs w:val="21"/>
        </w:rPr>
        <w:t xml:space="preserve"> Li G</w:t>
      </w:r>
      <w:r>
        <w:rPr>
          <w:rFonts w:eastAsia="宋体"/>
          <w:sz w:val="21"/>
          <w:szCs w:val="21"/>
        </w:rPr>
        <w:t xml:space="preserve">, Zhou Y. 2022. Novel Role of Long Non-Coding RNA ASAP1-IT1 in Progression of Hepatocellular Carcinoma. </w:t>
      </w:r>
      <w:r>
        <w:rPr>
          <w:rFonts w:eastAsia="宋体"/>
          <w:i/>
          <w:iCs/>
          <w:sz w:val="21"/>
          <w:szCs w:val="21"/>
        </w:rPr>
        <w:t>Front Oncol</w:t>
      </w:r>
      <w:r>
        <w:rPr>
          <w:rFonts w:eastAsia="宋体"/>
          <w:sz w:val="21"/>
          <w:szCs w:val="21"/>
        </w:rPr>
        <w:t xml:space="preserve"> 12:746896.</w:t>
      </w:r>
    </w:p>
    <w:p w14:paraId="2C21658E">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eastAsia="宋体"/>
          <w:sz w:val="21"/>
          <w:szCs w:val="21"/>
        </w:rPr>
        <w:t xml:space="preserve">Ai Q, Chen W, Li Y, </w:t>
      </w:r>
      <w:r>
        <w:rPr>
          <w:rFonts w:eastAsia="宋体"/>
          <w:b/>
          <w:bCs/>
          <w:sz w:val="21"/>
          <w:szCs w:val="21"/>
        </w:rPr>
        <w:t>Li G</w:t>
      </w:r>
      <w:r>
        <w:rPr>
          <w:rFonts w:eastAsia="宋体"/>
          <w:sz w:val="21"/>
          <w:szCs w:val="21"/>
        </w:rPr>
        <w:t>.</w:t>
      </w:r>
      <w:r>
        <w:rPr>
          <w:rFonts w:eastAsia="宋体"/>
          <w:b/>
          <w:sz w:val="21"/>
          <w:szCs w:val="21"/>
        </w:rPr>
        <w:t xml:space="preserve"> </w:t>
      </w:r>
      <w:r>
        <w:rPr>
          <w:rFonts w:eastAsia="宋体"/>
          <w:sz w:val="21"/>
          <w:szCs w:val="21"/>
        </w:rPr>
        <w:t xml:space="preserve">2022. Upper Gastrointestinal Tract IrAEs: A Case Report About Sintilimab-Induced Acute Erosive Hemorrhagic Gastritis. </w:t>
      </w:r>
      <w:r>
        <w:rPr>
          <w:rFonts w:eastAsia="宋体"/>
          <w:i/>
          <w:iCs/>
          <w:sz w:val="21"/>
          <w:szCs w:val="21"/>
        </w:rPr>
        <w:t xml:space="preserve">Frontiers in Immunology </w:t>
      </w:r>
      <w:r>
        <w:rPr>
          <w:rFonts w:eastAsia="宋体"/>
          <w:sz w:val="21"/>
          <w:szCs w:val="21"/>
        </w:rPr>
        <w:t>13.</w:t>
      </w:r>
    </w:p>
    <w:p w14:paraId="7289673B">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eastAsia="宋体"/>
          <w:sz w:val="21"/>
          <w:szCs w:val="21"/>
        </w:rPr>
        <w:t xml:space="preserve">Xu C, Xie J, Liu Y, Tang F, Long Z, Wang Y, Luo J, Li J, </w:t>
      </w:r>
      <w:r>
        <w:rPr>
          <w:rFonts w:eastAsia="宋体"/>
          <w:b/>
          <w:bCs/>
          <w:sz w:val="21"/>
          <w:szCs w:val="21"/>
        </w:rPr>
        <w:t>Li G</w:t>
      </w:r>
      <w:r>
        <w:rPr>
          <w:rFonts w:eastAsia="宋体"/>
          <w:sz w:val="21"/>
          <w:szCs w:val="21"/>
        </w:rPr>
        <w:t>.</w:t>
      </w:r>
      <w:r>
        <w:rPr>
          <w:rFonts w:eastAsia="宋体"/>
          <w:b/>
          <w:sz w:val="21"/>
          <w:szCs w:val="21"/>
        </w:rPr>
        <w:t xml:space="preserve"> </w:t>
      </w:r>
      <w:r>
        <w:rPr>
          <w:rFonts w:eastAsia="宋体"/>
          <w:sz w:val="21"/>
          <w:szCs w:val="21"/>
        </w:rPr>
        <w:t xml:space="preserve">2020. MicroRNA expression profiling and target gene analysis in gastric cancer. </w:t>
      </w:r>
      <w:r>
        <w:rPr>
          <w:rFonts w:eastAsia="宋体"/>
          <w:i/>
          <w:iCs/>
          <w:sz w:val="21"/>
          <w:szCs w:val="21"/>
        </w:rPr>
        <w:t xml:space="preserve">Medicine (Baltimore) </w:t>
      </w:r>
      <w:r>
        <w:rPr>
          <w:rFonts w:eastAsia="宋体"/>
          <w:sz w:val="21"/>
          <w:szCs w:val="21"/>
        </w:rPr>
        <w:t>99:e21963.</w:t>
      </w:r>
    </w:p>
    <w:p w14:paraId="4F0FE3C8">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eastAsia="宋体"/>
          <w:sz w:val="21"/>
          <w:szCs w:val="21"/>
        </w:rPr>
        <w:t xml:space="preserve">Ouyang J, Long Z, </w:t>
      </w:r>
      <w:r>
        <w:rPr>
          <w:rFonts w:eastAsia="宋体"/>
          <w:b/>
          <w:bCs/>
          <w:sz w:val="21"/>
          <w:szCs w:val="21"/>
        </w:rPr>
        <w:t>Li G.</w:t>
      </w:r>
      <w:r>
        <w:rPr>
          <w:rFonts w:eastAsia="宋体"/>
          <w:b/>
          <w:sz w:val="21"/>
          <w:szCs w:val="21"/>
        </w:rPr>
        <w:t xml:space="preserve"> </w:t>
      </w:r>
      <w:r>
        <w:rPr>
          <w:rFonts w:eastAsia="宋体"/>
          <w:sz w:val="21"/>
          <w:szCs w:val="21"/>
        </w:rPr>
        <w:t xml:space="preserve">2020. Circular RNAs in Gastric Cancer: Potential Biomarkers and Therapeutic Targets. </w:t>
      </w:r>
      <w:r>
        <w:rPr>
          <w:rFonts w:eastAsia="宋体"/>
          <w:i/>
          <w:iCs/>
          <w:sz w:val="21"/>
          <w:szCs w:val="21"/>
        </w:rPr>
        <w:t>Biomed Res Int</w:t>
      </w:r>
      <w:r>
        <w:rPr>
          <w:rFonts w:eastAsia="宋体"/>
          <w:sz w:val="21"/>
          <w:szCs w:val="21"/>
        </w:rPr>
        <w:t xml:space="preserve"> 2020:2790679.</w:t>
      </w:r>
    </w:p>
    <w:p w14:paraId="4F52E300">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eastAsia="宋体"/>
          <w:sz w:val="21"/>
          <w:szCs w:val="21"/>
          <w:lang w:val="it-IT"/>
        </w:rPr>
        <w:t xml:space="preserve">Guo-Qing Li, Juan Xie, Xiao-Yong Lei, Li Zhang. </w:t>
      </w:r>
      <w:r>
        <w:rPr>
          <w:rFonts w:eastAsia="宋体"/>
          <w:sz w:val="21"/>
          <w:szCs w:val="21"/>
        </w:rPr>
        <w:t xml:space="preserve">Macrophage migration inhibitory factor regulates proliferation of gastric cancer cells via the PI3K/Akt pathway. </w:t>
      </w:r>
      <w:r>
        <w:rPr>
          <w:rFonts w:eastAsia="宋体"/>
          <w:i/>
          <w:iCs/>
          <w:sz w:val="21"/>
          <w:szCs w:val="21"/>
        </w:rPr>
        <w:t>World J Gastroenterol</w:t>
      </w:r>
      <w:r>
        <w:rPr>
          <w:rFonts w:eastAsia="宋体"/>
          <w:sz w:val="21"/>
          <w:szCs w:val="21"/>
        </w:rPr>
        <w:t xml:space="preserve"> 2009 November 28; 15(44): 5541-5548</w:t>
      </w:r>
    </w:p>
    <w:p w14:paraId="66A026C9">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eastAsia="宋体"/>
          <w:sz w:val="21"/>
          <w:szCs w:val="21"/>
        </w:rPr>
        <w:t>Guo Qing Li, Harry H. X. Xia, Min Hu Chen, Tetsuya Tsukamoto, Masae Tatematsu, Qing Gu, Liang Qiao, C. H. Cho, Wallace H. L. So, M. F. Yuen, Pin Jin Hu, Ying Jie Liang, Han Liang Lin, Annie O. O. Chan and Benjamin C. Y. Wong. Effects of aspirin on the development of Helicobacter pylori-induced gastric inflammation and heterotopic proliferative glands in Mongolian gerbils.</w:t>
      </w:r>
      <w:r>
        <w:rPr>
          <w:rFonts w:eastAsia="宋体"/>
          <w:i/>
          <w:iCs/>
          <w:sz w:val="21"/>
          <w:szCs w:val="21"/>
        </w:rPr>
        <w:t xml:space="preserve"> Helicobacter</w:t>
      </w:r>
      <w:r>
        <w:rPr>
          <w:rFonts w:eastAsia="宋体"/>
          <w:sz w:val="21"/>
          <w:szCs w:val="21"/>
        </w:rPr>
        <w:t>2008;13:20–29</w:t>
      </w:r>
    </w:p>
    <w:p w14:paraId="263584DE">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eastAsia="宋体"/>
          <w:sz w:val="21"/>
          <w:szCs w:val="21"/>
        </w:rPr>
        <w:t xml:space="preserve">Guo Qing Li, Harry Hua-Xiang Xia, Min Hu Chen, Qing Gu, Ji De Wang, Jun Zhong Peng, Annie O. O. Chan, Chi Hin Cho, Hau Leung So, Shiu Kum Lam, Pin Jin Hu, Ying Jie Liang, Han Liang Lin, Douglas E. Berg, Zhe Hui Feng, Robert Langenbach, and Benjamin Chun-Yu Wong. Effects of cyclooxygenase-1 and -2 gene disruption on Helicobacter pylori-induced inflammation. </w:t>
      </w:r>
      <w:r>
        <w:rPr>
          <w:rFonts w:eastAsia="宋体"/>
          <w:i/>
          <w:iCs/>
          <w:sz w:val="21"/>
          <w:szCs w:val="21"/>
        </w:rPr>
        <w:t>Journal of Infectious Disease</w:t>
      </w:r>
      <w:r>
        <w:rPr>
          <w:rFonts w:eastAsia="宋体"/>
          <w:sz w:val="21"/>
          <w:szCs w:val="21"/>
        </w:rPr>
        <w:t xml:space="preserve"> 2006; 193:1037–46</w:t>
      </w:r>
    </w:p>
    <w:p w14:paraId="6ECC7C9B">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eastAsia="宋体"/>
          <w:sz w:val="21"/>
          <w:szCs w:val="21"/>
        </w:rPr>
      </w:pPr>
      <w:r>
        <w:rPr>
          <w:rFonts w:hint="eastAsia" w:ascii="等线" w:hAnsi="等线" w:eastAsia="宋体" w:cstheme="minorBidi"/>
          <w:kern w:val="2"/>
          <w:sz w:val="21"/>
          <w:szCs w:val="21"/>
          <w:lang w:val="en-US" w:eastAsia="zh-CN" w:bidi="ar-SA"/>
        </w:rPr>
        <w:t>Guo Qing Li, Harry H. X. Xia, Minhu Chen, Zhe Hui Feng, Robert Langenbach, and Benjamin Chun-Yu Wong. Cyclooxygenase-2 gene disruption enhances gastric inflammation but inhibits gastric epithelial proliferation induced by Helicobacter pylori.</w:t>
      </w:r>
      <w:r>
        <w:rPr>
          <w:rFonts w:hint="eastAsia" w:ascii="等线" w:hAnsi="等线" w:eastAsia="宋体" w:cstheme="minorBidi"/>
          <w:kern w:val="2"/>
          <w:sz w:val="21"/>
          <w:szCs w:val="21"/>
          <w:lang w:val="en-GB" w:eastAsia="zh-CN" w:bidi="ar-SA"/>
        </w:rPr>
        <w:t xml:space="preserve"> </w:t>
      </w:r>
      <w:r>
        <w:rPr>
          <w:rFonts w:hint="eastAsia" w:ascii="等线" w:hAnsi="等线" w:eastAsia="宋体" w:cstheme="minorBidi"/>
          <w:i/>
          <w:iCs/>
          <w:kern w:val="2"/>
          <w:sz w:val="21"/>
          <w:szCs w:val="21"/>
          <w:lang w:val="en-GB" w:eastAsia="zh-CN" w:bidi="ar-SA"/>
        </w:rPr>
        <w:t xml:space="preserve">Gastroenterology </w:t>
      </w:r>
      <w:r>
        <w:rPr>
          <w:rFonts w:hint="eastAsia" w:ascii="等线" w:hAnsi="等线" w:eastAsia="宋体" w:cstheme="minorBidi"/>
          <w:kern w:val="2"/>
          <w:sz w:val="21"/>
          <w:szCs w:val="21"/>
          <w:lang w:val="en-GB" w:eastAsia="zh-CN" w:bidi="ar-SA"/>
        </w:rPr>
        <w:t>2004; 126 (Suppl.2): A907</w:t>
      </w:r>
    </w:p>
    <w:p w14:paraId="2D34483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A1B9C"/>
    <w:multiLevelType w:val="singleLevel"/>
    <w:tmpl w:val="72CA1B9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E032D"/>
    <w:rsid w:val="212A7089"/>
    <w:rsid w:val="37763D41"/>
    <w:rsid w:val="481E032D"/>
    <w:rsid w:val="7F9A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 w:cstheme="minorBidi"/>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customStyle="1" w:styleId="5">
    <w:name w:val="EndNote Bibliography"/>
    <w:basedOn w:val="1"/>
    <w:autoRedefine/>
    <w:qFormat/>
    <w:uiPriority w:val="0"/>
    <w:rPr>
      <w:rFonts w:ascii="等线" w:hAnsi="等线" w:eastAsia="等线"/>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2074</Characters>
  <Lines>0</Lines>
  <Paragraphs>0</Paragraphs>
  <TotalTime>5</TotalTime>
  <ScaleCrop>false</ScaleCrop>
  <LinksUpToDate>false</LinksUpToDate>
  <CharactersWithSpaces>2381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2025-03-04T03:01:00Z</dcterms:created>
  <dc:creator>胡超祎</dc:creator>
  <cp:lastModifiedBy>；^ ）</cp:lastModifiedBy>
  <dcterms:modified xsi:type="dcterms:W3CDTF">2025-03-05T03:15:55Z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E6B394DC021D480EA4267620D2EC6201_11</vt:lpwstr>
  </property>
  <property fmtid="{D5CDD505-2E9C-101B-9397-08002B2CF9AE}" pid="4" name="KSOTemplateDocerSaveRecord">
    <vt:lpwstr>eyJoZGlkIjoiYjkwYmYxYzQzNTkzODczN2E4NzAzMmRmZmE5NmFlYWIiLCJ1c2VySWQiOiI1NzY4NTQyNTkifQ==</vt:lpwstr>
  </property>
</Properties>
</file>